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11745</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rPr>
                <w:highlight w:val="green"/>
              </w:rPr>
            </w:pPr>
            <w:r>
              <w:rPr>
                <w:b/>
                <w:sz w:val="28"/>
                <w:highlight w:val="none"/>
              </w:rPr>
              <w:t>CR</w:t>
            </w:r>
          </w:p>
        </w:tc>
        <w:tc>
          <w:tcPr>
            <w:tcW w:w="1276" w:type="dxa"/>
            <w:shd w:val="pct30" w:color="FFFF00" w:fill="auto"/>
          </w:tcPr>
          <w:p>
            <w:pPr>
              <w:pStyle w:val="104"/>
              <w:spacing w:after="0"/>
              <w:rPr>
                <w:rFonts w:hint="default" w:eastAsiaTheme="minorEastAsia"/>
                <w:highlight w:val="green"/>
                <w:lang w:val="en-US" w:eastAsia="zh-CN"/>
              </w:rPr>
            </w:pPr>
            <w:r>
              <w:rPr>
                <w:rFonts w:hint="eastAsia"/>
                <w:b/>
                <w:sz w:val="28"/>
                <w:highlight w:val="none"/>
                <w:lang w:val="en-US" w:eastAsia="zh-CN"/>
              </w:rPr>
              <w:t>4707</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highlight w:val="none"/>
              </w:rPr>
              <w:t>1</w:t>
            </w:r>
            <w:r>
              <w:rPr>
                <w:rFonts w:hint="eastAsia"/>
                <w:b/>
                <w:sz w:val="28"/>
                <w:highlight w:val="none"/>
                <w:lang w:val="en-US" w:eastAsia="zh-CN"/>
              </w:rPr>
              <w:t>7</w:t>
            </w:r>
            <w:r>
              <w:rPr>
                <w:b/>
                <w:sz w:val="28"/>
                <w:highlight w:val="none"/>
              </w:rPr>
              <w:t>.</w:t>
            </w:r>
            <w:r>
              <w:rPr>
                <w:rFonts w:hint="eastAsia"/>
                <w:b/>
                <w:sz w:val="28"/>
                <w:highlight w:val="none"/>
                <w:lang w:val="en-US" w:eastAsia="zh-CN"/>
              </w:rPr>
              <w:t>14</w:t>
            </w:r>
            <w:r>
              <w:rPr>
                <w:b/>
                <w:sz w:val="28"/>
                <w:highlight w:val="none"/>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w:t>
            </w:r>
            <w:r>
              <w:t>NR_NTN_solutions-Core</w:t>
            </w:r>
            <w:r>
              <w:rPr>
                <w:rFonts w:hint="eastAsia"/>
                <w:lang w:val="en-US" w:eastAsia="zh-CN"/>
              </w:rPr>
              <w:t>)</w:t>
            </w:r>
            <w:bookmarkStart w:id="6" w:name="_GoBack"/>
            <w:bookmarkEnd w:id="6"/>
            <w:r>
              <w:rPr>
                <w:rFonts w:hint="eastAsia"/>
                <w:lang w:val="en-US" w:eastAsia="zh-CN"/>
              </w:rPr>
              <w:t xml:space="preserve"> CR to TS 38.133 specification corrections for NR NTN</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t>NR_NTN_solutions-Core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07</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20"/>
                <w:szCs w:val="20"/>
                <w:lang w:val="en-US" w:eastAsia="zh-CN"/>
              </w:rPr>
            </w:pPr>
            <w:r>
              <w:rPr>
                <w:rFonts w:hint="eastAsia" w:eastAsia="宋体"/>
                <w:sz w:val="20"/>
                <w:szCs w:val="20"/>
                <w:lang w:val="en-US" w:eastAsia="zh-CN"/>
              </w:rPr>
              <w:t>There are some reference error and typos in R17 NTN spec</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20"/>
                <w:szCs w:val="20"/>
                <w:lang w:val="en-US" w:eastAsia="zh-CN"/>
              </w:rPr>
            </w:pPr>
            <w:r>
              <w:rPr>
                <w:rFonts w:hint="eastAsia" w:eastAsia="宋体"/>
                <w:sz w:val="20"/>
                <w:szCs w:val="20"/>
                <w:lang w:val="en-US" w:eastAsia="zh-CN"/>
              </w:rPr>
              <w:t>The reference number for NTN RF spec 38.101-5 is not captured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10"/>
                <w:szCs w:val="1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20"/>
                <w:szCs w:val="20"/>
                <w:lang w:val="en-US" w:eastAsia="zh-CN"/>
              </w:rPr>
            </w:pPr>
            <w:r>
              <w:rPr>
                <w:rFonts w:hint="eastAsia" w:eastAsia="宋体"/>
                <w:sz w:val="20"/>
                <w:szCs w:val="20"/>
                <w:lang w:val="en-US" w:eastAsia="zh-CN"/>
              </w:rPr>
              <w:t>Fix reference error and typos</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20"/>
                <w:szCs w:val="20"/>
                <w:lang w:val="en-US" w:eastAsia="zh-CN"/>
              </w:rPr>
            </w:pPr>
            <w:r>
              <w:rPr>
                <w:rFonts w:hint="eastAsia" w:eastAsia="宋体"/>
                <w:sz w:val="20"/>
                <w:szCs w:val="20"/>
                <w:lang w:val="en-US" w:eastAsia="zh-CN"/>
              </w:rPr>
              <w:t>Add the reference number for NTN RF spec 38.101-5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eastAsia="宋体"/>
                <w:sz w:val="20"/>
                <w:szCs w:val="20"/>
                <w:lang w:val="en-US" w:eastAsia="zh-CN"/>
              </w:rPr>
              <w:t>The NTN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eastAsia="zh-CN"/>
              </w:rPr>
            </w:pPr>
            <w:r>
              <w:rPr>
                <w:rFonts w:hint="eastAsia"/>
                <w:lang w:val="en-US" w:eastAsia="zh-CN"/>
              </w:rPr>
              <w:t>4.2C.2.1, 4.2C.2.2, 4.2C.2.3, 6.1C.1.2.2, 6.2C.1.1, 6.2C.1.2.1, 6.2C.2.1, 7.1C.2, 8.5C.1, 8.5C.2.1, 8.5C.5.2, 8.5C.6.2, 8.5C.6.3, 8.6C.2,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lang w:val="en-US" w:eastAsia="zh-CN"/>
        </w:rPr>
      </w:pPr>
      <w:r>
        <w:rPr>
          <w:lang w:val="en-US" w:eastAsia="zh-CN"/>
        </w:rPr>
        <w:t>4.2C.2.1</w:t>
      </w:r>
      <w:r>
        <w:rPr>
          <w:lang w:val="en-US" w:eastAsia="zh-CN"/>
        </w:rPr>
        <w:tab/>
      </w:r>
      <w:r>
        <w:rPr>
          <w:lang w:val="en-US" w:eastAsia="zh-CN"/>
        </w:rPr>
        <w:t>UE measurement capability</w:t>
      </w:r>
    </w:p>
    <w:p>
      <w:r>
        <w:t>For idle mode cell re-selection purposes,</w:t>
      </w:r>
      <w:r>
        <w:rPr>
          <w:rFonts w:hint="eastAsia"/>
        </w:rPr>
        <w:t xml:space="preserve"> </w:t>
      </w:r>
      <w:r>
        <w:t>the UE shall be capable of monitoring at least:</w:t>
      </w:r>
    </w:p>
    <w:p>
      <w:pPr>
        <w:pStyle w:val="98"/>
      </w:pPr>
      <w:r>
        <w:rPr>
          <w:rFonts w:cs="v4.2.0"/>
        </w:rPr>
        <w:t>-</w:t>
      </w:r>
      <w:r>
        <w:rPr>
          <w:rFonts w:cs="v4.2.0"/>
        </w:rPr>
        <w:tab/>
      </w:r>
      <w:r>
        <w:rPr>
          <w:rFonts w:cs="v4.2.0"/>
        </w:rPr>
        <w:t>Intra-frequency carrier, and</w:t>
      </w:r>
    </w:p>
    <w:p>
      <w:pPr>
        <w:pStyle w:val="98"/>
      </w:pPr>
      <w:r>
        <w:t>-</w:t>
      </w:r>
      <w:r>
        <w:tab/>
      </w:r>
      <w:r>
        <w:t>Depending on UE capability, 7 NR inter-frequency carriers</w:t>
      </w:r>
      <w:ins w:id="0" w:author="CMCC-shiyuan-bigCR" w:date="2024-07-28T22:29:32Z">
        <w:r>
          <w:rPr>
            <w:rFonts w:hint="eastAsia"/>
            <w:lang w:val="en-US" w:eastAsia="zh-CN"/>
          </w:rPr>
          <w:t>.</w:t>
        </w:r>
      </w:ins>
      <w:del w:id="1" w:author="CMCC-shiyuan-bigCR" w:date="2024-07-28T22:29:28Z">
        <w:r>
          <w:rPr/>
          <w:delText>, and</w:delText>
        </w:r>
      </w:del>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pPr>
        <w:jc w:val="center"/>
        <w:outlineLvl w:val="9"/>
        <w:rPr>
          <w:rFonts w:hint="eastAsia"/>
          <w:b/>
          <w:bCs/>
          <w:highlight w:val="yellow"/>
          <w:lang w:eastAsia="zh-CN"/>
        </w:rPr>
      </w:pPr>
    </w:p>
    <w:p>
      <w:pPr>
        <w:jc w:val="center"/>
        <w:outlineLvl w:val="0"/>
        <w:rPr>
          <w:ins w:id="2" w:author="CMCC-shiyuan-bigCR" w:date="2024-07-27T22:02:16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2</w:t>
      </w:r>
      <w:r>
        <w:rPr>
          <w:rFonts w:hint="eastAsia"/>
          <w:b/>
          <w:bCs/>
          <w:highlight w:val="yellow"/>
          <w:lang w:eastAsia="zh-CN"/>
        </w:rPr>
        <w:t>&gt;</w:t>
      </w:r>
    </w:p>
    <w:p>
      <w:pPr>
        <w:pStyle w:val="5"/>
        <w:rPr>
          <w:lang w:val="en-US"/>
        </w:rPr>
      </w:pPr>
      <w:r>
        <w:rPr>
          <w:lang w:val="en-US"/>
        </w:rPr>
        <w:t>4.2C.2.2</w:t>
      </w:r>
      <w:r>
        <w:rPr>
          <w:lang w:val="en-US"/>
        </w:rPr>
        <w:tab/>
      </w:r>
      <w:r>
        <w:rPr>
          <w:lang w:val="en-US"/>
        </w:rPr>
        <w:t>Measurement and evaluation of serving cell</w:t>
      </w:r>
    </w:p>
    <w:p>
      <w:pPr>
        <w:rPr>
          <w:rFonts w:cs="v4.2.0"/>
        </w:rPr>
      </w:pPr>
      <w:r>
        <w:rPr>
          <w:rFonts w:cs="v4.2.0"/>
        </w:rPr>
        <w:t>The UE shall measure the SS-RSRP and SS-RSRQ level of the serving cell and evaluate the cell selection criterion S defined in TS</w:t>
      </w:r>
      <w:r>
        <w:t> </w:t>
      </w:r>
      <w:r>
        <w:rPr>
          <w:rFonts w:cs="v4.2.0"/>
        </w:rPr>
        <w:t>38.304</w:t>
      </w:r>
      <w:r>
        <w:rPr>
          <w:rFonts w:hint="eastAsia"/>
          <w:lang w:val="en-US"/>
        </w:rPr>
        <w:t xml:space="preserve"> [1]</w:t>
      </w:r>
      <w:r>
        <w:rPr>
          <w:rFonts w:cs="v4.2.0"/>
        </w:rPr>
        <w:t xml:space="preserve"> for the serving cell at least once every M1*N1 DRX cycle; where:</w:t>
      </w:r>
    </w:p>
    <w:p>
      <w:pPr>
        <w:pStyle w:val="98"/>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rPr>
        <w:t>,</w:t>
      </w:r>
    </w:p>
    <w:p>
      <w:pPr>
        <w:pStyle w:val="98"/>
      </w:pPr>
      <w:r>
        <w:t>-</w:t>
      </w:r>
      <w:r>
        <w:tab/>
      </w:r>
      <w:r>
        <w:t>M1=2.5 if SMTC periodicity (T</w:t>
      </w:r>
      <w:r>
        <w:rPr>
          <w:vertAlign w:val="subscript"/>
        </w:rPr>
        <w:t>SMTC</w:t>
      </w:r>
      <w:r>
        <w:t xml:space="preserve">) &gt; 20 ms and DRX cycle </w:t>
      </w:r>
      <w:r>
        <w:rPr>
          <w:rFonts w:hint="eastAsia"/>
        </w:rPr>
        <w:t>≤</w:t>
      </w:r>
      <w:r>
        <w:t xml:space="preserve"> 0.64 secondand 1&lt;N</w:t>
      </w:r>
      <w:r>
        <w:rPr>
          <w:vertAlign w:val="subscript"/>
        </w:rPr>
        <w:t xml:space="preserve">SMTC </w:t>
      </w:r>
      <w:r>
        <w:rPr/>
        <w:sym w:font="Symbol" w:char="F0A3"/>
      </w:r>
      <w:r>
        <w:t xml:space="preserve"> 4,</w:t>
      </w:r>
    </w:p>
    <w:p>
      <w:pPr>
        <w:pStyle w:val="98"/>
      </w:pPr>
      <w:r>
        <w:t>-</w:t>
      </w:r>
      <w:r>
        <w:tab/>
      </w:r>
      <w:r>
        <w:t>otherwise M1=1.</w:t>
      </w:r>
    </w:p>
    <w:p>
      <w:r>
        <w:t>Where, N</w:t>
      </w:r>
      <w:r>
        <w:rPr>
          <w:vertAlign w:val="subscript"/>
        </w:rPr>
        <w:t>SMTC</w:t>
      </w:r>
      <w:r>
        <w:t xml:space="preserve"> is the number of SMTCs configured by SAN.</w:t>
      </w:r>
    </w:p>
    <w:p>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Also, 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w:t>
      </w:r>
      <w:del w:id="3" w:author="CMCC-shiyuan-bigCR" w:date="2024-07-29T21:07:01Z">
        <w:r>
          <w:rPr>
            <w:rFonts w:cs="v4.2.0"/>
          </w:rPr>
          <w:delText xml:space="preserve"> </w:delText>
        </w:r>
      </w:del>
      <w:del w:id="4" w:author="CMCC-shiyuan-bigCR" w:date="2024-07-29T21:07:00Z">
        <w:r>
          <w:rPr>
            <w:rFonts w:cs="v4.2.0"/>
          </w:rPr>
          <w:delText>–</w:delText>
        </w:r>
      </w:del>
      <w:r>
        <w:rPr>
          <w:rFonts w:cs="v4.2.0"/>
        </w:rPr>
        <w:t xml:space="preserve"> </w:t>
      </w:r>
      <w:r>
        <w:rPr>
          <w:rFonts w:cs="v4.2.0"/>
          <w:i/>
          <w:iCs/>
        </w:rPr>
        <w:t xml:space="preserve">referenceLocation </w:t>
      </w:r>
      <w:r>
        <w:rPr>
          <w:rFonts w:cs="v4.2.0"/>
          <w:i/>
          <w:iCs/>
        </w:rPr>
        <w:softHyphen/>
      </w:r>
      <w:del w:id="5" w:author="CMCC-shiyuan-bigCR" w:date="2024-07-29T21:07:05Z">
        <w:r>
          <w:rPr>
            <w:rFonts w:cs="v4.2.0"/>
            <w:i/>
            <w:iCs/>
          </w:rPr>
          <w:delText>–</w:delText>
        </w:r>
      </w:del>
      <w:del w:id="6" w:author="CMCC-shiyuan-bigCR" w:date="2024-07-29T21:07:04Z">
        <w:r>
          <w:rPr>
            <w:rFonts w:cs="v4.2.0"/>
          </w:rPr>
          <w:delText xml:space="preserve"> </w:delText>
        </w:r>
      </w:del>
      <w:r>
        <w:rPr>
          <w:rFonts w:cs="v4.2.0"/>
        </w:rPr>
        <w:t xml:space="preserve">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pPr>
        <w:rPr>
          <w:rFonts w:hint="default" w:eastAsiaTheme="minorEastAsia"/>
          <w:b/>
          <w:bCs/>
          <w:highlight w:val="yellow"/>
          <w:lang w:val="en-US" w:eastAsia="zh-CN"/>
        </w:rPr>
      </w:pPr>
      <w:r>
        <w:rPr>
          <w:rFonts w:hint="eastAsia"/>
          <w:b/>
          <w:bCs/>
          <w:highlight w:val="yellow"/>
          <w:lang w:val="en-US"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7" w:author="CMCC-shiyuan-bigCR" w:date="2024-07-29T21:09:17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3</w:t>
      </w:r>
      <w:r>
        <w:rPr>
          <w:rFonts w:hint="eastAsia"/>
          <w:b/>
          <w:bCs/>
          <w:highlight w:val="yellow"/>
          <w:lang w:eastAsia="zh-CN"/>
        </w:rPr>
        <w:t>&gt;</w:t>
      </w:r>
    </w:p>
    <w:p>
      <w:pPr>
        <w:pStyle w:val="5"/>
        <w:rPr>
          <w:lang w:val="en-US"/>
        </w:rPr>
      </w:pPr>
      <w:r>
        <w:rPr>
          <w:lang w:val="en-US"/>
        </w:rPr>
        <w:t>4.2C.2.3</w:t>
      </w:r>
      <w:r>
        <w:rPr>
          <w:lang w:val="en-US"/>
        </w:rPr>
        <w:tab/>
      </w:r>
      <w:r>
        <w:rPr>
          <w:lang w:val="en-US"/>
        </w:rPr>
        <w:t>Measurements of intra-frequency NR cells</w:t>
      </w:r>
    </w:p>
    <w:p>
      <w:r>
        <w:t>The UE shall be able to identify new intra-frequency cells and perform SS-RSRP and SS-RSRQ measurements of the identified intra-frequency cells without an explicit intra-frequency neighbour list containing physical layer cell identities.</w:t>
      </w:r>
    </w:p>
    <w:p>
      <w:r>
        <w:t>If Srxlev &gt; S</w:t>
      </w:r>
      <w:r>
        <w:rPr>
          <w:vertAlign w:val="subscript"/>
          <w:rPrChange w:id="8" w:author="CMCC-shiyuan-bigCR" w:date="2024-08-05T16:51:55Z">
            <w:rPr/>
          </w:rPrChange>
        </w:rPr>
        <w:t>IntraSearchP</w:t>
      </w:r>
      <w:r>
        <w:t xml:space="preserve"> and Squal &gt; S</w:t>
      </w:r>
      <w:r>
        <w:rPr>
          <w:vertAlign w:val="subscript"/>
          <w:rPrChange w:id="9" w:author="CMCC-shiyuan-bigCR" w:date="2024-08-05T16:52:00Z">
            <w:rPr/>
          </w:rPrChange>
        </w:rPr>
        <w:t>IntraSearchQ</w:t>
      </w:r>
      <w:r>
        <w:t xml:space="preserve">,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isnot required to perform measurement of intra-frequency.</w:t>
      </w:r>
    </w:p>
    <w:p>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enhancedMeasurementLEO-r17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w:t>
      </w:r>
      <w:r>
        <w:t>. An intra frequency cell is considered to be detectable according to the conditions defined in Annex B.1.6 for a corresponding Band.</w:t>
      </w:r>
    </w:p>
    <w:p>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pStyle w:val="98"/>
      </w:pPr>
      <w:r>
        <w:tab/>
      </w:r>
      <w:r>
        <w:t>If SMTCs do not overlap with each other,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98"/>
      </w:pPr>
      <w:r>
        <w:t>-</w:t>
      </w:r>
      <w:r>
        <w:tab/>
      </w:r>
      <w:r>
        <w:t>If SMTCs partially overlap with each other,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98"/>
      </w:pPr>
      <w:r>
        <w:rPr>
          <w:rFonts w:hint="eastAsia"/>
        </w:rPr>
        <w:t>w</w:t>
      </w:r>
      <w:r>
        <w:t>here</w:t>
      </w:r>
    </w:p>
    <w:p>
      <w:pPr>
        <w:pStyle w:val="98"/>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pStyle w:val="98"/>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w:p>
    <w:p>
      <w:pPr>
        <w:pStyle w:val="98"/>
        <w:rPr>
          <w:rFonts w:cs="v4.2.0"/>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s the number of SMTCs that partially overlap with each other.</w:t>
      </w:r>
    </w:p>
    <w:p>
      <w:pPr>
        <w:pStyle w:val="79"/>
      </w:pPr>
      <w:r>
        <w:rPr>
          <w:rFonts w:hint="eastAsia"/>
        </w:rPr>
        <w:t>N</w:t>
      </w:r>
      <w:r>
        <w:t>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98"/>
      </w:pPr>
      <w:r>
        <w:t>-</w:t>
      </w:r>
      <w:r>
        <w:tab/>
      </w:r>
      <w:r>
        <w:t xml:space="preserve">when </w:t>
      </w:r>
      <w:r>
        <w:rPr>
          <w:i/>
        </w:rPr>
        <w:t>rangeToBestCell</w:t>
      </w:r>
      <w:r>
        <w:t xml:space="preserve"> is not configured:</w:t>
      </w:r>
    </w:p>
    <w:p>
      <w:pPr>
        <w:pStyle w:val="98"/>
      </w:pPr>
      <w:r>
        <w:t>-</w:t>
      </w:r>
      <w:r>
        <w:tab/>
      </w:r>
      <w:r>
        <w:t>the cell is at least 3dB better ranked in FR1 or 4.5dB better ranked in FR2.</w:t>
      </w:r>
    </w:p>
    <w:p>
      <w:pPr>
        <w:pStyle w:val="98"/>
      </w:pPr>
      <w:r>
        <w:t>-</w:t>
      </w:r>
      <w:r>
        <w:tab/>
      </w:r>
      <w:r>
        <w:t xml:space="preserve">when </w:t>
      </w:r>
      <w:r>
        <w:rPr>
          <w:i/>
        </w:rPr>
        <w:t>rangeToBestCell</w:t>
      </w:r>
      <w:r>
        <w:t xml:space="preserve"> is configured:</w:t>
      </w:r>
    </w:p>
    <w:p>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pPr>
        <w:pStyle w:val="99"/>
      </w:pPr>
      <w:r>
        <w:t>-</w:t>
      </w:r>
      <w:r>
        <w:tab/>
      </w:r>
      <w:r>
        <w:t xml:space="preserve">if there are multiple such cells, the cell has the highest rank among them. </w:t>
      </w:r>
    </w:p>
    <w:p>
      <w:pPr>
        <w:pStyle w:val="100"/>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pPr>
        <w:pStyle w:val="78"/>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89"/>
              <w:rPr>
                <w:snapToGrid w:val="0"/>
              </w:rPr>
            </w:pPr>
            <w:r>
              <w:rPr>
                <w:snapToGrid w:val="0"/>
              </w:rPr>
              <w:t>Note 1</w:t>
            </w:r>
            <w:r>
              <w:t>:</w:t>
            </w:r>
            <w:r>
              <w:rPr>
                <w:lang w:val="en-US"/>
              </w:rPr>
              <w:tab/>
            </w:r>
            <w:r>
              <w:rPr>
                <w:lang w:val="en-US"/>
              </w:rPr>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pPr>
              <w:pStyle w:val="89"/>
            </w:pPr>
            <w:r>
              <w:rPr>
                <w:snapToGrid w:val="0"/>
              </w:rPr>
              <w:t>Note 2:</w:t>
            </w:r>
            <w:r>
              <w:t xml:space="preserve"> </w:t>
            </w:r>
            <w:r>
              <w:tab/>
            </w:r>
            <w:r>
              <w:t>The UE is not required to meet the requirements for 2.56s DRX cycle length for earth-moving LEO deployment.</w:t>
            </w:r>
          </w:p>
        </w:tc>
      </w:tr>
    </w:tbl>
    <w:p/>
    <w:p>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89"/>
              <w:rPr>
                <w:rFonts w:eastAsia="Malgun Gothic"/>
              </w:rPr>
            </w:pPr>
            <w:r>
              <w:t>Note 1:</w:t>
            </w:r>
            <w:r>
              <w:rPr>
                <w:rFonts w:eastAsia="CG Times (WN)"/>
                <w:lang w:val="en-US"/>
              </w:rPr>
              <w:tab/>
            </w:r>
            <w:r>
              <w:t>When SMTC &lt; = 40 ms, M2 = M3 = M4 = 1; and when SMTC &gt; 40 ms, M2 = 2, M3 = M4 = 2.5</w:t>
            </w:r>
          </w:p>
        </w:tc>
      </w:tr>
    </w:tbl>
    <w:p/>
    <w:p>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rPr>
        <w:t>T</w:t>
      </w:r>
      <w:r>
        <w:rPr>
          <w:szCs w:val="24"/>
          <w:vertAlign w:val="subscript"/>
        </w:rPr>
        <w:t>trigger</w:t>
      </w:r>
      <w:r>
        <w:t>.</w:t>
      </w:r>
    </w:p>
    <w:p>
      <w:pPr>
        <w:pStyle w:val="85"/>
      </w:pPr>
      <w:r>
        <w:tab/>
      </w:r>
      <w:r>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r>
        <w:rPr>
          <w:szCs w:val="24"/>
        </w:rPr>
        <w:t>where</w:t>
      </w:r>
    </w:p>
    <w:p>
      <w:pPr>
        <w:pStyle w:val="98"/>
      </w:pPr>
      <w:r>
        <w:t>-</w:t>
      </w:r>
      <w:r>
        <w:tab/>
      </w:r>
      <w:r>
        <w:t>K</w:t>
      </w:r>
      <w:r>
        <w:rPr>
          <w:vertAlign w:val="subscript"/>
        </w:rPr>
        <w:t>carrier</w:t>
      </w:r>
      <w:r>
        <w:t xml:space="preserve"> is the number of NR inter-frequency carriers indicated by the serving cell,</w:t>
      </w:r>
    </w:p>
    <w:p>
      <w:pPr>
        <w:pStyle w:val="98"/>
      </w:pPr>
      <w:r>
        <w:t>-</w:t>
      </w:r>
      <w:r>
        <w:tab/>
      </w:r>
      <w:r>
        <w:t>T</w:t>
      </w:r>
      <w:r>
        <w:rPr>
          <w:vertAlign w:val="subscript"/>
        </w:rPr>
        <w:t>detect,NR_Intra</w:t>
      </w:r>
      <w:r>
        <w:t xml:space="preserve"> </w:t>
      </w:r>
      <w:r>
        <w:rPr>
          <w:rFonts w:hint="eastAsia"/>
        </w:rPr>
        <w:t>refers to</w:t>
      </w:r>
      <w:r>
        <w:t xml:space="preserve"> intra-frequency cell detection delay in IDLE/INACTIVE mode defined </w:t>
      </w:r>
      <w:del w:id="10" w:author="CMCC-shiyuan-bigCR" w:date="2024-07-29T21:13:22Z">
        <w:r>
          <w:rPr>
            <w:rFonts w:hint="default"/>
            <w:lang w:val="en-US"/>
          </w:rPr>
          <w:delText>Table</w:delText>
        </w:r>
      </w:del>
      <w:ins w:id="11" w:author="CMCC-shiyuan-bigCR" w:date="2024-07-29T21:13:23Z">
        <w:r>
          <w:rPr>
            <w:rFonts w:hint="eastAsia"/>
            <w:lang w:val="en-US" w:eastAsia="zh-CN"/>
          </w:rPr>
          <w:t>in</w:t>
        </w:r>
      </w:ins>
      <w:r>
        <w:t xml:space="preserve"> Table 4.2C.2.3-2,</w:t>
      </w:r>
    </w:p>
    <w:p>
      <w:pPr>
        <w:pStyle w:val="98"/>
      </w:pPr>
      <w:r>
        <w:t>-</w:t>
      </w:r>
      <w:r>
        <w:tab/>
      </w:r>
      <w:r>
        <w:t>T</w:t>
      </w:r>
      <w:r>
        <w:rPr>
          <w:vertAlign w:val="subscript"/>
        </w:rPr>
        <w:t>detect,NR_Inter</w:t>
      </w:r>
      <w:r>
        <w:t xml:space="preserve"> </w:t>
      </w:r>
      <w:r>
        <w:rPr>
          <w:rFonts w:hint="eastAsia"/>
        </w:rPr>
        <w:t>refers to</w:t>
      </w:r>
      <w:r>
        <w:t xml:space="preserve"> inter-frequency cell detection delay in IDLE/INACTIVE mode defined </w:t>
      </w:r>
      <w:ins w:id="12" w:author="CMCC-shiyuan-bigCR" w:date="2024-07-29T21:13:30Z">
        <w:r>
          <w:rPr>
            <w:rFonts w:hint="eastAsia"/>
            <w:lang w:val="en-US" w:eastAsia="zh-CN"/>
          </w:rPr>
          <w:t xml:space="preserve">in </w:t>
        </w:r>
      </w:ins>
      <w:r>
        <w:t>Table 4.2C.2.4-2.</w:t>
      </w:r>
    </w:p>
    <w:p>
      <w:r>
        <w:t>The requirements in this clause apply provided that the number of SMTCs for</w:t>
      </w:r>
      <w:del w:id="13" w:author="CMCC-shiyuan-bigCR" w:date="2024-07-29T21:13:36Z">
        <w:r>
          <w:rPr/>
          <w:delText xml:space="preserve"> any</w:delText>
        </w:r>
      </w:del>
      <w:r>
        <w:t xml:space="preserve"> int</w:t>
      </w:r>
      <w:ins w:id="14" w:author="CMCC-shiyuan-bigCR" w:date="2024-07-29T21:14:13Z">
        <w:r>
          <w:rPr>
            <w:rFonts w:hint="eastAsia"/>
            <w:lang w:val="en-US" w:eastAsia="zh-CN"/>
          </w:rPr>
          <w:t>ra</w:t>
        </w:r>
      </w:ins>
      <w:del w:id="15" w:author="CMCC-shiyuan-bigCR" w:date="2024-07-29T21:14:13Z">
        <w:r>
          <w:rPr/>
          <w:delText>er</w:delText>
        </w:r>
      </w:del>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16" w:author="CMCC-shiyuan-bigCR" w:date="2024-07-29T21:23:28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4</w:t>
      </w:r>
      <w:r>
        <w:rPr>
          <w:rFonts w:hint="eastAsia"/>
          <w:b/>
          <w:bCs/>
          <w:highlight w:val="yellow"/>
          <w:lang w:eastAsia="zh-CN"/>
        </w:rPr>
        <w:t>&gt;</w:t>
      </w:r>
    </w:p>
    <w:p>
      <w:pPr>
        <w:pStyle w:val="6"/>
      </w:pPr>
      <w:r>
        <w:t>6.1</w:t>
      </w:r>
      <w:r>
        <w:rPr>
          <w:rFonts w:hint="eastAsia"/>
        </w:rPr>
        <w:t>C</w:t>
      </w:r>
      <w:r>
        <w:t>.1.2.2</w:t>
      </w:r>
      <w:r>
        <w:tab/>
      </w:r>
      <w:r>
        <w:t>Interruption time</w:t>
      </w:r>
    </w:p>
    <w:p>
      <w:pPr>
        <w:rPr>
          <w:rFonts w:cs="v4.2.0"/>
        </w:rPr>
      </w:pPr>
      <w:bookmarkStart w:id="1" w:name="_Hlk137915426"/>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rPr>
        <w:t>to NR SAN cell</w:t>
      </w:r>
      <w:r>
        <w:rPr>
          <w:rFonts w:cs="v4.2.0"/>
        </w:rPr>
        <w:t xml:space="preserve"> is commanded, </w:t>
      </w:r>
      <w:bookmarkEnd w:id="1"/>
      <w:r>
        <w:rPr>
          <w:rFonts w:cs="v4.2.0"/>
        </w:rPr>
        <w:t>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processing</w:t>
      </w:r>
      <w:r>
        <w:t xml:space="preserve"> </w:t>
      </w:r>
      <w:r>
        <w:rPr>
          <w:vertAlign w:val="subscript"/>
        </w:rPr>
        <w:t xml:space="preserve"> </w:t>
      </w:r>
      <w:r>
        <w:t>+ T</w:t>
      </w:r>
      <w:r>
        <w:rPr>
          <w:vertAlign w:val="subscript"/>
        </w:rPr>
        <w:t>∆</w:t>
      </w:r>
      <w:r>
        <w:t xml:space="preserve"> + T</w:t>
      </w:r>
      <w:r>
        <w:rPr>
          <w:vertAlign w:val="subscript"/>
        </w:rPr>
        <w:t xml:space="preserve">margin </w:t>
      </w:r>
      <w:r>
        <w:t>ms</w:t>
      </w:r>
    </w:p>
    <w:p>
      <w:pPr>
        <w:rPr>
          <w:rFonts w:cs="v4.2.0"/>
        </w:rPr>
      </w:pPr>
      <w:r>
        <w:rPr>
          <w:rFonts w:cs="v4.2.0"/>
        </w:rPr>
        <w:t>O</w:t>
      </w:r>
      <w:r>
        <w:rPr>
          <w:rFonts w:hint="eastAsia" w:cs="v4.2.0"/>
        </w:rPr>
        <w:t>therwise, no interruption time requirement is applied.</w:t>
      </w:r>
    </w:p>
    <w:p>
      <w:pPr>
        <w:rPr>
          <w:rFonts w:cs="v4.2.0"/>
        </w:rPr>
      </w:pPr>
      <w:r>
        <w:rPr>
          <w:rFonts w:cs="v4.2.0"/>
        </w:rPr>
        <w:t>Where:</w:t>
      </w:r>
    </w:p>
    <w:p>
      <w:pPr>
        <w:pStyle w:val="98"/>
      </w:pPr>
      <w:r>
        <w:rPr>
          <w:rFonts w:hint="eastAsia"/>
        </w:rPr>
        <w:t>-</w:t>
      </w:r>
      <w:r>
        <w:tab/>
      </w:r>
      <w:r>
        <w:t>T</w:t>
      </w:r>
      <w:r>
        <w:rPr>
          <w:vertAlign w:val="subscript"/>
        </w:rPr>
        <w:t>search</w:t>
      </w:r>
      <w:r>
        <w:t xml:space="preserve"> is the time required to search the target </w:t>
      </w:r>
      <w:r>
        <w:rPr>
          <w:rFonts w:hint="eastAsia"/>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 xml:space="preserve"> </w:t>
      </w:r>
      <w:r>
        <w:t>≥</w:t>
      </w:r>
      <w:r>
        <w:rPr>
          <w:rFonts w:hint="eastAsia"/>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rPr>
        <w:t xml:space="preserve"> </w:t>
      </w:r>
      <w:r>
        <w:t>≥</w:t>
      </w:r>
      <w:r>
        <w:rPr>
          <w:rFonts w:hint="eastAsia"/>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8"/>
      </w:pPr>
      <w:r>
        <w:rPr>
          <w:rFonts w:hint="eastAsia"/>
        </w:rPr>
        <w:t>-</w:t>
      </w: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98"/>
      </w:pPr>
      <w:r>
        <w:rPr>
          <w:rFonts w:hint="eastAsia"/>
        </w:rPr>
        <w:t>-</w:t>
      </w:r>
      <w:r>
        <w:tab/>
      </w:r>
      <w:r>
        <w:t>T</w:t>
      </w:r>
      <w:r>
        <w:rPr>
          <w:vertAlign w:val="subscript"/>
        </w:rPr>
        <w:t>processing</w:t>
      </w:r>
      <w:r>
        <w:t xml:space="preserve"> is time for UE processing. T</w:t>
      </w:r>
      <w:r>
        <w:rPr>
          <w:vertAlign w:val="subscript"/>
        </w:rPr>
        <w:t>processing</w:t>
      </w:r>
      <w:r>
        <w:t xml:space="preserve"> can be up to 20ms.</w:t>
      </w:r>
    </w:p>
    <w:p>
      <w:pPr>
        <w:pStyle w:val="98"/>
      </w:pPr>
      <w:r>
        <w:rPr>
          <w:rFonts w:hint="eastAsia"/>
        </w:rPr>
        <w:t>-</w:t>
      </w:r>
      <w:r>
        <w:tab/>
      </w:r>
      <w:r>
        <w:t>T</w:t>
      </w:r>
      <w:r>
        <w:rPr>
          <w:vertAlign w:val="subscript"/>
        </w:rPr>
        <w:t xml:space="preserve">margin </w:t>
      </w:r>
      <w:r>
        <w:t>is time for SSB post-processing. T</w:t>
      </w:r>
      <w:r>
        <w:rPr>
          <w:vertAlign w:val="subscript"/>
        </w:rPr>
        <w:t xml:space="preserve">margin </w:t>
      </w:r>
      <w:r>
        <w:t>can be up to 2ms.</w:t>
      </w:r>
    </w:p>
    <w:p>
      <w:pPr>
        <w:pStyle w:val="98"/>
      </w:pPr>
      <w:r>
        <w:rPr>
          <w:rFonts w:hint="eastAsia"/>
        </w:rPr>
        <w:t>-</w:t>
      </w:r>
      <w:r>
        <w:tab/>
      </w:r>
      <w:r>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rFonts w:hint="eastAsia"/>
        </w:rPr>
        <w:t>[10]</w:t>
      </w:r>
      <w:r>
        <w:t xml:space="preserve"> ms. SSB to PRACH occasion associated period is defined in the table 8.1-1 of TS 38.213 [3].</w:t>
      </w:r>
    </w:p>
    <w:p>
      <w:pPr>
        <w:pStyle w:val="98"/>
      </w:pPr>
      <w:r>
        <w:rPr>
          <w:rFonts w:hint="eastAsia"/>
        </w:rPr>
        <w:t>-</w:t>
      </w:r>
      <w:r>
        <w:tab/>
      </w:r>
      <w:r>
        <w:t>T</w:t>
      </w:r>
      <w:r>
        <w:rPr>
          <w:vertAlign w:val="subscript"/>
        </w:rPr>
        <w:t>rs</w:t>
      </w:r>
      <w:r>
        <w:t xml:space="preserve"> is the SMTC periodicity of the target NR </w:t>
      </w:r>
      <w:r>
        <w:rPr>
          <w:rFonts w:hint="eastAsia"/>
        </w:rPr>
        <w:t xml:space="preserve">SAN </w:t>
      </w:r>
      <w:r>
        <w:t>cell if the UE has been provided with an SMTC configuration for the target cell</w:t>
      </w:r>
      <w:r>
        <w:rPr>
          <w:rFonts w:hint="eastAsia"/>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rPr>
          <w:rFonts w:cs="v4.2.0"/>
          <w:lang w:eastAsia="zh-CN"/>
        </w:rPr>
      </w:pPr>
      <w:r>
        <w:rPr>
          <w:rFonts w:cs="v4.2.0"/>
        </w:rPr>
        <w:t>In the interruption requirement a cell is known if it has been meeting the relevant cell identification requirement during the last 5 seconds otherwise it is unknown. Relevant cell identification requirements are described in Clause 9.2</w:t>
      </w:r>
      <w:ins w:id="17" w:author="CMCC-shiyuan-bigCR" w:date="2024-07-29T21:24:13Z">
        <w:r>
          <w:rPr>
            <w:rFonts w:hint="eastAsia" w:cs="v4.2.0"/>
            <w:lang w:val="en-US" w:eastAsia="zh-CN"/>
          </w:rPr>
          <w:t>C</w:t>
        </w:r>
      </w:ins>
      <w:r>
        <w:rPr>
          <w:rFonts w:cs="v4.2.0"/>
        </w:rPr>
        <w:t>.5 for intra-frequency handover and Clause 9.3</w:t>
      </w:r>
      <w:ins w:id="18" w:author="CMCC-shiyuan-bigCR" w:date="2024-07-29T21:24:14Z">
        <w:r>
          <w:rPr>
            <w:rFonts w:hint="eastAsia" w:cs="v4.2.0"/>
            <w:lang w:val="en-US" w:eastAsia="zh-CN"/>
          </w:rPr>
          <w:t>C</w:t>
        </w:r>
      </w:ins>
      <w:r>
        <w:rPr>
          <w:rFonts w:cs="v4.2.0"/>
        </w:rPr>
        <w:t>.4 for inter-frequency handover.</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5</w:t>
      </w:r>
      <w:r>
        <w:rPr>
          <w:rFonts w:hint="eastAsia"/>
          <w:b/>
          <w:bCs/>
          <w:highlight w:val="yellow"/>
          <w:lang w:eastAsia="zh-CN"/>
        </w:rPr>
        <w:t>&gt;</w:t>
      </w:r>
    </w:p>
    <w:p>
      <w:pPr>
        <w:pStyle w:val="5"/>
        <w:rPr>
          <w:lang w:eastAsia="ko-KR"/>
        </w:rPr>
      </w:pPr>
      <w:r>
        <w:rPr>
          <w:lang w:eastAsia="ko-KR"/>
        </w:rPr>
        <w:t>6.2</w:t>
      </w:r>
      <w:r>
        <w:rPr>
          <w:rFonts w:hint="eastAsia"/>
        </w:rPr>
        <w:t>C</w:t>
      </w:r>
      <w:r>
        <w:rPr>
          <w:lang w:eastAsia="ko-KR"/>
        </w:rPr>
        <w:t>.1.1</w:t>
      </w:r>
      <w:r>
        <w:rPr>
          <w:lang w:eastAsia="ko-KR"/>
        </w:rPr>
        <w:tab/>
      </w:r>
      <w:r>
        <w:rPr>
          <w:lang w:eastAsia="ko-KR"/>
        </w:rPr>
        <w:t>Introduction</w:t>
      </w:r>
    </w:p>
    <w:p>
      <w:pPr>
        <w:rPr>
          <w:lang w:val="en-US"/>
        </w:rPr>
      </w:pPr>
      <w:r>
        <w:rPr>
          <w:lang w:val="en-US"/>
        </w:rPr>
        <w:t xml:space="preserve">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w:t>
      </w:r>
      <w:del w:id="19" w:author="CMCC-shiyuan-bigCR" w:date="2024-07-29T21:25:54Z">
        <w:r>
          <w:rPr>
            <w:rFonts w:hint="eastAsia"/>
            <w:lang w:val="en-US"/>
          </w:rPr>
          <w:delText>[</w:delText>
        </w:r>
      </w:del>
      <w:r>
        <w:rPr>
          <w:lang w:val="en-US"/>
        </w:rPr>
        <w:t>5.3.7</w:t>
      </w:r>
      <w:del w:id="20" w:author="CMCC-shiyuan-bigCR" w:date="2024-07-29T21:25:56Z">
        <w:r>
          <w:rPr>
            <w:rFonts w:hint="eastAsia"/>
            <w:lang w:val="en-US"/>
          </w:rPr>
          <w:delText>]</w:delText>
        </w:r>
      </w:del>
      <w:r>
        <w:rPr>
          <w:lang w:val="en-US"/>
        </w:rPr>
        <w:t xml:space="preserve"> of TS 38.331 [2].</w:t>
      </w:r>
    </w:p>
    <w:p>
      <w:pPr>
        <w:rPr>
          <w:lang w:val="en-US"/>
        </w:rPr>
      </w:pPr>
      <w:r>
        <w:rPr>
          <w:lang w:val="en-US"/>
        </w:rPr>
        <w:t>The requirements in this clause are applicable for RRC connection re-establishment to NR cell, which is served by satellite access node (SAN).</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6</w:t>
      </w:r>
      <w:r>
        <w:rPr>
          <w:rFonts w:hint="eastAsia"/>
          <w:b/>
          <w:bCs/>
          <w:highlight w:val="yellow"/>
          <w:lang w:eastAsia="zh-CN"/>
        </w:rPr>
        <w:t>&gt;</w:t>
      </w:r>
    </w:p>
    <w:p>
      <w:pPr>
        <w:pStyle w:val="6"/>
        <w:rPr>
          <w:lang w:val="en-US"/>
        </w:rPr>
      </w:pPr>
      <w:r>
        <w:rPr>
          <w:lang w:val="en-US"/>
        </w:rPr>
        <w:t>6.2</w:t>
      </w:r>
      <w:r>
        <w:rPr>
          <w:rFonts w:hint="eastAsia"/>
          <w:lang w:val="en-US"/>
        </w:rPr>
        <w:t>C</w:t>
      </w:r>
      <w:r>
        <w:rPr>
          <w:lang w:val="en-US"/>
        </w:rPr>
        <w:t>.1.2.1</w:t>
      </w:r>
      <w:r>
        <w:rPr>
          <w:lang w:val="en-US"/>
        </w:rPr>
        <w:tab/>
      </w:r>
      <w:r>
        <w:rPr>
          <w:lang w:val="en-US"/>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w:t>
      </w:r>
      <w:del w:id="21" w:author="CMCC-shiyuan-bigCR" w:date="2024-07-29T21:29:40Z">
        <w:r>
          <w:rPr>
            <w:rFonts w:hint="eastAsia"/>
          </w:rPr>
          <w:delText>[</w:delText>
        </w:r>
      </w:del>
      <w:r>
        <w:rPr>
          <w:lang w:eastAsia="ko-KR"/>
        </w:rPr>
        <w:t>5.3.7</w:t>
      </w:r>
      <w:del w:id="22" w:author="CMCC-shiyuan-bigCR" w:date="2024-07-29T21:29:41Z">
        <w:r>
          <w:rPr>
            <w:rFonts w:hint="eastAsia"/>
          </w:rPr>
          <w:delText>]</w:delText>
        </w:r>
      </w:del>
      <w:r>
        <w:rPr>
          <w:lang w:eastAsia="ko-KR"/>
        </w:rPr>
        <w:t xml:space="preserve">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pPr>
        <w:pStyle w:val="85"/>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rPr>
        <w:t>if</w:t>
      </w:r>
      <w:r>
        <w:rPr>
          <w:rFonts w:cs="v4.2.0"/>
          <w:lang w:eastAsia="ko-KR"/>
        </w:rPr>
        <w:t xml:space="preserve"> each relevant SSB</w:t>
      </w:r>
      <w:r>
        <w:rPr>
          <w:rFonts w:hint="eastAsia" w:cs="v4.2.0"/>
        </w:rPr>
        <w:t xml:space="preserve"> can satisfy that</w:t>
      </w:r>
      <w:r>
        <w:rPr>
          <w:rFonts w:cs="v4.2.0"/>
          <w:lang w:eastAsia="ko-KR"/>
        </w:rPr>
        <w:t>:</w:t>
      </w:r>
    </w:p>
    <w:p>
      <w:pPr>
        <w:pStyle w:val="98"/>
      </w:pPr>
      <w:r>
        <w:t>-</w:t>
      </w:r>
      <w:r>
        <w:tab/>
      </w:r>
      <w:r>
        <w:t>SS-RSRP related side conditions given in clause 10.1.2</w:t>
      </w:r>
      <w:ins w:id="23" w:author="CMCC-shiyuan-bigCR" w:date="2024-07-30T11:14:19Z">
        <w:r>
          <w:rPr>
            <w:rFonts w:hint="eastAsia"/>
            <w:lang w:val="en-US" w:eastAsia="zh-CN"/>
          </w:rPr>
          <w:t>C</w:t>
        </w:r>
      </w:ins>
      <w:del w:id="24" w:author="CMCC-shiyuan-bigCR" w:date="2024-07-29T21:37:28Z">
        <w:r>
          <w:rPr/>
          <w:delText xml:space="preserve"> and 10.1.3</w:delText>
        </w:r>
      </w:del>
      <w:r>
        <w:t xml:space="preserve"> are fulfilled for a corresponding NR Band for FR1, </w:t>
      </w:r>
      <w:r>
        <w:rPr>
          <w:rFonts w:hint="eastAsia"/>
        </w:rPr>
        <w:t>and</w:t>
      </w:r>
    </w:p>
    <w:p>
      <w:pPr>
        <w:pStyle w:val="98"/>
        <w:rPr>
          <w:rFonts w:cs="v4.2.0"/>
        </w:rPr>
      </w:pPr>
      <w:r>
        <w:t>-</w:t>
      </w:r>
      <w:r>
        <w:tab/>
      </w:r>
      <w:r>
        <w:rPr>
          <w:rFonts w:hint="eastAsia"/>
        </w:rPr>
        <w:t xml:space="preserve">the conditions of </w:t>
      </w:r>
      <w:r>
        <w:t xml:space="preserve">SSB_RP and SSB </w:t>
      </w:r>
      <w:r>
        <w:rPr>
          <w:lang w:val="en-US"/>
        </w:rPr>
        <w:t>Ês/Iot</w:t>
      </w:r>
      <w:r>
        <w:t xml:space="preserve"> according to Annex B.2.</w:t>
      </w:r>
      <w:del w:id="25" w:author="CMCC-shiyuan-bigCR" w:date="2024-07-29T21:38:52Z">
        <w:r>
          <w:rPr>
            <w:rFonts w:hint="default"/>
            <w:lang w:val="en-US"/>
          </w:rPr>
          <w:delText>x1</w:delText>
        </w:r>
      </w:del>
      <w:ins w:id="26" w:author="CMCC-shiyuan-bigCR" w:date="2024-07-29T21:38:52Z">
        <w:r>
          <w:rPr>
            <w:rFonts w:hint="eastAsia"/>
            <w:lang w:val="en-US" w:eastAsia="zh-CN"/>
          </w:rPr>
          <w:t>17</w:t>
        </w:r>
      </w:ins>
      <w:r>
        <w:t xml:space="preserve"> for a corresponding NR Band</w:t>
      </w:r>
      <w:r>
        <w:rPr>
          <w:rFonts w:hint="eastAsia"/>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pPr>
      <w:r>
        <w:t>-</w:t>
      </w:r>
      <w:r>
        <w:tab/>
      </w:r>
      <w:r>
        <w:t>SS-RSRP related side conditions given in clause 10.1.4</w:t>
      </w:r>
      <w:ins w:id="27" w:author="CMCC-shiyuan-bigCR" w:date="2024-07-30T11:14:44Z">
        <w:r>
          <w:rPr>
            <w:rFonts w:hint="eastAsia"/>
            <w:lang w:val="en-US" w:eastAsia="zh-CN"/>
          </w:rPr>
          <w:t>C</w:t>
        </w:r>
      </w:ins>
      <w:r>
        <w:t xml:space="preserve"> are fulfilled for a corresponding NR Band for FR1,</w:t>
      </w:r>
      <w:r>
        <w:rPr>
          <w:rFonts w:hint="eastAsia"/>
        </w:rPr>
        <w:t xml:space="preserve"> and</w:t>
      </w:r>
    </w:p>
    <w:p>
      <w:pPr>
        <w:pStyle w:val="98"/>
        <w:rPr>
          <w:rFonts w:cs="v4.2.0"/>
        </w:rPr>
      </w:pPr>
      <w:r>
        <w:t>-</w:t>
      </w:r>
      <w:r>
        <w:tab/>
      </w:r>
      <w:r>
        <w:rPr>
          <w:rFonts w:hint="eastAsia"/>
        </w:rPr>
        <w:t xml:space="preserve">the conditions of </w:t>
      </w:r>
      <w:r>
        <w:t xml:space="preserve">SSB_RP and SSB </w:t>
      </w:r>
      <w:r>
        <w:rPr>
          <w:lang w:val="en-US"/>
        </w:rPr>
        <w:t>Ês/Iot</w:t>
      </w:r>
      <w:r>
        <w:t xml:space="preserve"> according to Annex B.2.</w:t>
      </w:r>
      <w:del w:id="28" w:author="CMCC-shiyuan-bigCR" w:date="2024-07-29T21:39:02Z">
        <w:r>
          <w:rPr>
            <w:rFonts w:hint="default"/>
            <w:lang w:val="en-US"/>
          </w:rPr>
          <w:delText>x2</w:delText>
        </w:r>
      </w:del>
      <w:ins w:id="29" w:author="CMCC-shiyuan-bigCR" w:date="2024-07-29T21:39:02Z">
        <w:r>
          <w:rPr>
            <w:rFonts w:hint="eastAsia"/>
            <w:lang w:val="en-US" w:eastAsia="zh-CN"/>
          </w:rPr>
          <w:t>1</w:t>
        </w:r>
      </w:ins>
      <w:ins w:id="30" w:author="CMCC-shiyuan-bigCR" w:date="2024-07-29T21:39:03Z">
        <w:r>
          <w:rPr>
            <w:rFonts w:hint="eastAsia"/>
            <w:lang w:val="en-US" w:eastAsia="zh-CN"/>
          </w:rPr>
          <w:t>8</w:t>
        </w:r>
      </w:ins>
      <w:r>
        <w:t xml:space="preserve"> for a corresponding NR Band</w:t>
      </w:r>
      <w:r>
        <w:rPr>
          <w:rFonts w:hint="eastAsia"/>
        </w:rPr>
        <w:t xml:space="preserve"> are fulfilled</w:t>
      </w:r>
      <w:r>
        <w:t>.</w:t>
      </w:r>
    </w:p>
    <w:p>
      <w:pPr>
        <w:jc w:val="left"/>
        <w:rPr>
          <w:b/>
          <w:bCs/>
          <w:highlight w:val="yellow"/>
          <w:lang w:eastAsia="zh-CN"/>
        </w:rPr>
      </w:pPr>
      <w:r>
        <w:rPr>
          <w:rFonts w:hint="eastAsia"/>
          <w:b/>
          <w:bCs/>
          <w:highlight w:val="yellow"/>
          <w:lang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6</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31" w:author="CMCC-shiyuan-bigCR" w:date="2024-07-29T21:41:40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7</w:t>
      </w:r>
      <w:r>
        <w:rPr>
          <w:rFonts w:hint="eastAsia"/>
          <w:b/>
          <w:bCs/>
          <w:highlight w:val="yellow"/>
          <w:lang w:eastAsia="zh-CN"/>
        </w:rPr>
        <w:t>&gt;</w:t>
      </w:r>
    </w:p>
    <w:p>
      <w:pPr>
        <w:pStyle w:val="5"/>
        <w:rPr>
          <w:lang w:eastAsia="ko-KR"/>
        </w:rPr>
      </w:pPr>
      <w:r>
        <w:rPr>
          <w:lang w:eastAsia="ko-KR"/>
        </w:rPr>
        <w:t>6.2</w:t>
      </w:r>
      <w:r>
        <w:rPr>
          <w:rFonts w:hint="eastAsia"/>
        </w:rPr>
        <w:t>C</w:t>
      </w:r>
      <w:r>
        <w:rPr>
          <w:lang w:eastAsia="ko-KR"/>
        </w:rPr>
        <w:t>.</w:t>
      </w:r>
      <w:r>
        <w:t>2</w:t>
      </w:r>
      <w:r>
        <w:rPr>
          <w:lang w:eastAsia="ko-KR"/>
        </w:rPr>
        <w:t>.1</w:t>
      </w:r>
      <w:r>
        <w:rPr>
          <w:lang w:eastAsia="ko-KR"/>
        </w:rPr>
        <w:tab/>
      </w:r>
      <w:r>
        <w:rPr>
          <w:lang w:eastAsia="ko-KR"/>
        </w:rPr>
        <w:t>Introduction</w:t>
      </w:r>
    </w:p>
    <w:p>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ins w:id="32" w:author="CMCC-shiyuan-bigCR" w:date="2024-07-29T21:42:51Z">
        <w:r>
          <w:rPr>
            <w:rFonts w:hint="eastAsia"/>
            <w:lang w:val="en-US" w:eastAsia="zh-CN"/>
          </w:rPr>
          <w:t>C</w:t>
        </w:r>
      </w:ins>
      <w:r>
        <w:rPr>
          <w:lang w:val="en-US"/>
        </w:rPr>
        <w:t>.2.2, whereas the requirements for the 2-step RA type procedure are described in the clause 6.2</w:t>
      </w:r>
      <w:ins w:id="33" w:author="CMCC-shiyuan-bigCR" w:date="2024-07-29T21:42:52Z">
        <w:r>
          <w:rPr>
            <w:rFonts w:hint="eastAsia"/>
            <w:lang w:val="en-US" w:eastAsia="zh-CN"/>
          </w:rPr>
          <w:t>C</w:t>
        </w:r>
      </w:ins>
      <w:r>
        <w:rPr>
          <w:lang w:val="en-US"/>
        </w:rPr>
        <w:t>.2.3 of this specification.</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7</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34" w:author="CMCC-shiyuan-bigCR" w:date="2024-07-29T21:45:12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8</w:t>
      </w:r>
      <w:r>
        <w:rPr>
          <w:rFonts w:hint="eastAsia"/>
          <w:b/>
          <w:bCs/>
          <w:highlight w:val="yellow"/>
          <w:lang w:eastAsia="zh-CN"/>
        </w:rPr>
        <w:t>&gt;</w:t>
      </w:r>
    </w:p>
    <w:p>
      <w:pPr>
        <w:pStyle w:val="4"/>
      </w:pPr>
      <w:r>
        <w:t>7.1C.2</w:t>
      </w:r>
      <w:r>
        <w:tab/>
      </w:r>
      <w:r>
        <w:t>Requirements</w:t>
      </w:r>
    </w:p>
    <w:p>
      <w:pPr>
        <w:rPr>
          <w:rFonts w:eastAsia="宋体" w:cs="v4.2.0"/>
        </w:rPr>
      </w:pPr>
      <w:r>
        <w:rPr>
          <w:rFonts w:eastAsia="宋体" w:cs="v4.2.0"/>
        </w:rPr>
        <w:t xml:space="preserve">The UE initial transmission timing error shall be less than or equal to </w:t>
      </w:r>
      <w:r>
        <w:rPr>
          <w:rFonts w:eastAsia="宋体" w:cs="v4.2.0"/>
        </w:rPr>
        <w:sym w:font="Symbol" w:char="F0B1"/>
      </w:r>
      <w:r>
        <w:rPr>
          <w:rFonts w:eastAsia="宋体" w:cs="v4.2.0"/>
        </w:rPr>
        <w:t>T</w:t>
      </w:r>
      <w:r>
        <w:rPr>
          <w:rFonts w:eastAsia="宋体" w:cs="v4.2.0"/>
          <w:vertAlign w:val="subscript"/>
        </w:rPr>
        <w:t>e_NTN</w:t>
      </w:r>
      <w:r>
        <w:rPr>
          <w:rFonts w:eastAsia="宋体"/>
        </w:rPr>
        <w:t xml:space="preserve"> where the timing error limit value </w:t>
      </w:r>
      <w:r>
        <w:rPr>
          <w:rFonts w:eastAsia="宋体" w:cs="v4.2.0"/>
        </w:rPr>
        <w:t>T</w:t>
      </w:r>
      <w:r>
        <w:rPr>
          <w:rFonts w:eastAsia="宋体" w:cs="v4.2.0"/>
          <w:vertAlign w:val="subscript"/>
        </w:rPr>
        <w:t>e_NTN</w:t>
      </w:r>
      <w:r>
        <w:rPr>
          <w:rFonts w:eastAsia="宋体"/>
        </w:rPr>
        <w:t xml:space="preserve"> is specified in Table 7.1C.2-1</w:t>
      </w:r>
      <w:r>
        <w:rPr>
          <w:rFonts w:eastAsia="宋体" w:cs="v4.2.0"/>
        </w:rPr>
        <w:t>. This requirement applies:</w:t>
      </w:r>
    </w:p>
    <w:p>
      <w:pPr>
        <w:pStyle w:val="98"/>
      </w:pPr>
      <w:r>
        <w:rPr>
          <w:lang w:eastAsia="ko-KR"/>
        </w:rPr>
        <w:t>-</w:t>
      </w:r>
      <w:r>
        <w:rPr>
          <w:lang w:eastAsia="ko-KR"/>
        </w:rPr>
        <w:tab/>
      </w:r>
      <w:r>
        <w:t>when it is the first transmission in a DRX cycle for PUCCH, PUSCH and SRS, or it is the PRACH transmission, or it is the msgA transmission..</w:t>
      </w:r>
    </w:p>
    <w:p>
      <w:pPr>
        <w:rPr>
          <w:rFonts w:eastAsia="宋体" w:cs="v4.2.0"/>
        </w:rPr>
      </w:pPr>
      <w:r>
        <w:rPr>
          <w:rFonts w:eastAsia="宋体" w:cs="v4.2.0"/>
        </w:rPr>
        <w:t>The UE shall meet the T</w:t>
      </w:r>
      <w:r>
        <w:rPr>
          <w:rFonts w:eastAsia="宋体" w:cs="v4.2.0"/>
          <w:vertAlign w:val="subscript"/>
        </w:rPr>
        <w:t>e_NTN</w:t>
      </w:r>
      <w:r>
        <w:rPr>
          <w:rFonts w:eastAsia="宋体" w:cs="v4.2.0"/>
        </w:rPr>
        <w:t xml:space="preserve"> requirement for an initial transmission provided that at least one SSB is available at the UE during the last 160 ms.</w:t>
      </w:r>
      <w:r>
        <w:rPr>
          <w:rFonts w:cs="v4.2.0"/>
        </w:rPr>
        <w:t>.</w:t>
      </w:r>
      <w:r>
        <w:rPr>
          <w:rFonts w:eastAsia="宋体"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common</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cs="v4.2.0"/>
        </w:rPr>
        <w:t>.</w:t>
      </w:r>
    </w:p>
    <w:p>
      <w:pPr>
        <w:rPr>
          <w:rFonts w:eastAsia="宋体"/>
        </w:rPr>
      </w:pPr>
      <w:r>
        <w:rPr>
          <w:rFonts w:eastAsia="宋体" w:cs="v4.2.0"/>
        </w:rPr>
        <w:t xml:space="preserve">The downlink timing is defined as the time when the first path (in time) of the corresponding downlink frame </w:t>
      </w:r>
      <w:r>
        <w:rPr>
          <w:lang w:val="en-US"/>
        </w:rPr>
        <w:t>used by the UE to determine downlink timing</w:t>
      </w:r>
      <w:r>
        <w:rPr>
          <w:rFonts w:eastAsia="宋体" w:cs="v4.2.0"/>
        </w:rPr>
        <w:t xml:space="preserve"> is received </w:t>
      </w:r>
      <w:r>
        <w:rPr>
          <w:rFonts w:eastAsia="宋体"/>
        </w:rPr>
        <w:t>from the reference cell</w:t>
      </w:r>
      <w:r>
        <w:t xml:space="preserve"> at the UE antenna</w:t>
      </w:r>
      <w:r>
        <w:rPr>
          <w:rFonts w:eastAsia="宋体"/>
        </w:rPr>
        <w:t xml:space="preserve">. </w:t>
      </w:r>
    </w:p>
    <w:p>
      <w:pPr>
        <w:rPr>
          <w:rFonts w:eastAsia="宋体" w:cs="v4.2.0"/>
        </w:rPr>
      </w:pPr>
      <w:r>
        <w:rPr>
          <w:rFonts w:eastAsia="宋体" w:cs="v4.2.0"/>
          <w:i/>
        </w:rPr>
        <w:t>N</w:t>
      </w:r>
      <w:r>
        <w:rPr>
          <w:rFonts w:eastAsia="宋体" w:cs="v4.2.0"/>
          <w:vertAlign w:val="subscript"/>
        </w:rPr>
        <w:t>TA</w:t>
      </w:r>
      <w:r>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common</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rPr>
        <w:t xml:space="preserve"> (in </w:t>
      </w:r>
      <w:r>
        <w:rPr>
          <w:rFonts w:eastAsia="宋体"/>
          <w:i/>
        </w:rPr>
        <w:t>T</w:t>
      </w:r>
      <w:r>
        <w:rPr>
          <w:rFonts w:eastAsia="宋体"/>
          <w:vertAlign w:val="subscript"/>
        </w:rPr>
        <w:t>c</w:t>
      </w:r>
      <w:r>
        <w:rPr>
          <w:rFonts w:eastAsia="宋体"/>
        </w:rPr>
        <w:t xml:space="preserve"> units) </w:t>
      </w:r>
      <w:r>
        <w:rPr>
          <w:rFonts w:eastAsia="宋体" w:cs="v4.2.0"/>
        </w:rPr>
        <w:t>for other channels is the difference between UE transmission timing and the downlink timing immediately after when the last timing advance in clause 7.3</w:t>
      </w:r>
      <w:ins w:id="35" w:author="CMCC-shiyuan-bigCR" w:date="2024-07-29T21:45:52Z">
        <w:r>
          <w:rPr>
            <w:rFonts w:hint="eastAsia" w:eastAsia="宋体" w:cs="v4.2.0"/>
            <w:lang w:val="en-US" w:eastAsia="zh-CN"/>
          </w:rPr>
          <w:t>C</w:t>
        </w:r>
      </w:ins>
      <w:r>
        <w:rPr>
          <w:rFonts w:eastAsia="宋体" w:cs="v4.2.0"/>
        </w:rPr>
        <w:t xml:space="preserve"> was applied. or after the last update in </w:t>
      </w:r>
      <m:oMath>
        <m:sSubSup>
          <m:sSubSupPr>
            <m:ctrlPr>
              <w:rPr>
                <w:rFonts w:ascii="Cambria Math" w:hAnsi="Cambria Math" w:eastAsia="宋体" w:cs="v4.2.0"/>
                <w:i/>
              </w:rPr>
            </m:ctrlPr>
          </m:sSubSupPr>
          <m:e>
            <m:r>
              <m:rPr/>
              <w:rPr>
                <w:rFonts w:ascii="Cambria Math" w:hAnsi="Cambria Math" w:eastAsia="宋体" w:cs="v4.2.0"/>
              </w:rPr>
              <m:t>N</m:t>
            </m:r>
            <m:ctrlPr>
              <w:rPr>
                <w:rFonts w:ascii="Cambria Math" w:hAnsi="Cambria Math" w:eastAsia="宋体" w:cs="v4.2.0"/>
                <w:i/>
              </w:rPr>
            </m:ctrlPr>
          </m:e>
          <m:sub>
            <m:r>
              <m:rPr>
                <m:sty m:val="p"/>
              </m:rPr>
              <w:rPr>
                <w:rFonts w:ascii="Cambria Math" w:hAnsi="Cambria Math" w:eastAsia="宋体" w:cs="v4.2.0"/>
                <w:lang w:val="en-US"/>
              </w:rPr>
              <m:t>TA,adj</m:t>
            </m:r>
            <m:ctrlPr>
              <w:rPr>
                <w:rFonts w:ascii="Cambria Math" w:hAnsi="Cambria Math" w:eastAsia="宋体" w:cs="v4.2.0"/>
                <w:i/>
              </w:rPr>
            </m:ctrlPr>
          </m:sub>
          <m:sup>
            <m:r>
              <m:rPr>
                <m:sty m:val="p"/>
              </m:rPr>
              <w:rPr>
                <w:rFonts w:ascii="Cambria Math" w:hAnsi="Cambria Math" w:eastAsia="宋体" w:cs="v4.2.0"/>
                <w:lang w:val="en-US"/>
              </w:rPr>
              <m:t>common</m:t>
            </m:r>
            <m:ctrlPr>
              <w:rPr>
                <w:rFonts w:ascii="Cambria Math" w:hAnsi="Cambria Math" w:eastAsia="宋体" w:cs="v4.2.0"/>
                <w:i/>
              </w:rPr>
            </m:ctrlPr>
          </m:sup>
        </m:sSubSup>
      </m:oMath>
      <w:r>
        <w:rPr>
          <w:rFonts w:eastAsia="宋体" w:cs="v4.2.0"/>
        </w:rPr>
        <w:t xml:space="preserve">  or </w:t>
      </w:r>
      <m:oMath>
        <m:sSubSup>
          <m:sSubSupPr>
            <m:ctrlPr>
              <w:rPr>
                <w:rFonts w:ascii="Cambria Math" w:hAnsi="Cambria Math" w:eastAsia="宋体" w:cs="v4.2.0"/>
                <w:i/>
              </w:rPr>
            </m:ctrlPr>
          </m:sSubSupPr>
          <m:e>
            <m:r>
              <m:rPr/>
              <w:rPr>
                <w:rFonts w:ascii="Cambria Math" w:hAnsi="Cambria Math" w:eastAsia="宋体" w:cs="v4.2.0"/>
              </w:rPr>
              <m:t>N</m:t>
            </m:r>
            <m:ctrlPr>
              <w:rPr>
                <w:rFonts w:ascii="Cambria Math" w:hAnsi="Cambria Math" w:eastAsia="宋体" w:cs="v4.2.0"/>
                <w:i/>
              </w:rPr>
            </m:ctrlPr>
          </m:e>
          <m:sub>
            <m:r>
              <m:rPr>
                <m:sty m:val="p"/>
              </m:rPr>
              <w:rPr>
                <w:rFonts w:ascii="Cambria Math" w:hAnsi="Cambria Math" w:eastAsia="宋体" w:cs="v4.2.0"/>
                <w:lang w:val="en-US"/>
              </w:rPr>
              <m:t>TA,adj</m:t>
            </m:r>
            <m:ctrlPr>
              <w:rPr>
                <w:rFonts w:ascii="Cambria Math" w:hAnsi="Cambria Math" w:eastAsia="宋体" w:cs="v4.2.0"/>
                <w:i/>
              </w:rPr>
            </m:ctrlPr>
          </m:sub>
          <m:sup>
            <m:r>
              <m:rPr>
                <m:sty m:val="p"/>
              </m:rPr>
              <w:rPr>
                <w:rFonts w:ascii="Cambria Math" w:hAnsi="Cambria Math" w:eastAsia="宋体" w:cs="v4.2.0"/>
                <w:lang w:val="en-US"/>
              </w:rPr>
              <m:t>UE</m:t>
            </m:r>
            <m:ctrlPr>
              <w:rPr>
                <w:rFonts w:ascii="Cambria Math" w:hAnsi="Cambria Math" w:eastAsia="宋体" w:cs="v4.2.0"/>
                <w:i/>
              </w:rPr>
            </m:ctrlPr>
          </m:sup>
        </m:sSubSup>
      </m:oMath>
      <w:r>
        <w:rPr>
          <w:rFonts w:eastAsia="宋体" w:cs="v4.2.0"/>
        </w:rPr>
        <w:t>.</w:t>
      </w:r>
    </w:p>
    <w:p>
      <w:pPr>
        <w:rPr>
          <w:rFonts w:hint="default" w:eastAsiaTheme="minorEastAsia"/>
          <w:b/>
          <w:bCs/>
          <w:highlight w:val="yellow"/>
          <w:lang w:val="en-US" w:eastAsia="zh-CN"/>
        </w:rPr>
      </w:pPr>
      <w:r>
        <w:rPr>
          <w:rFonts w:hint="eastAsia"/>
          <w:b/>
          <w:bCs/>
          <w:highlight w:val="yellow"/>
          <w:lang w:val="en-US"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8</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9</w:t>
      </w:r>
      <w:r>
        <w:rPr>
          <w:rFonts w:hint="eastAsia"/>
          <w:b/>
          <w:bCs/>
          <w:highlight w:val="yellow"/>
          <w:lang w:eastAsia="zh-CN"/>
        </w:rPr>
        <w:t>&gt;</w:t>
      </w:r>
    </w:p>
    <w:p>
      <w:pPr>
        <w:pStyle w:val="4"/>
      </w:pPr>
      <w:r>
        <w:t>8.5C.1</w:t>
      </w:r>
      <w:r>
        <w:tab/>
      </w:r>
      <w:r>
        <w:t>Introduction</w:t>
      </w:r>
    </w:p>
    <w:p>
      <w:pPr>
        <w:rPr>
          <w:lang w:val="en-US"/>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5"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v5.0.0"/>
        </w:rPr>
        <w:t xml:space="preserve"> as specified in TS 38.213 [3] in order to detect beam failure on </w:t>
      </w:r>
      <w:r>
        <w:rPr>
          <w:lang w:val="en-US"/>
        </w:rPr>
        <w:t>PCell and the UE is configured with only PCell, which is served by satellite access node (SAN).</w:t>
      </w:r>
    </w:p>
    <w:p>
      <w:pPr>
        <w:rPr>
          <w:rFonts w:cs="v5.0.0"/>
        </w:rPr>
      </w:pPr>
      <w:r>
        <w:rPr>
          <w:rFonts w:cs="v5.0.0"/>
        </w:rPr>
        <w:t xml:space="preserve">The RS resource configurations in the set </w:t>
      </w:r>
      <w:r>
        <w:rPr>
          <w:iCs/>
          <w:position w:val="-10"/>
        </w:rPr>
        <w:object>
          <v:shape id="_x0000_i1026"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iCs/>
        </w:rPr>
        <w:t xml:space="preserve"> on PCell </w:t>
      </w:r>
      <w:r>
        <w:rPr>
          <w:rFonts w:cs="v5.0.0"/>
        </w:rPr>
        <w:t xml:space="preserve">can be periodic </w:t>
      </w:r>
      <w:r>
        <w:t>CSI-RS resources and/or SSBs</w:t>
      </w:r>
      <w:r>
        <w:rPr>
          <w:rFonts w:cs="v5.0.0"/>
        </w:rPr>
        <w:t xml:space="preserve">.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27"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ins w:id="36" w:author="CMCC-shiyuan-bigCR" w:date="2024-07-29T21:55:39Z"/>
      <w:ins w:id="37" w:author="CMCC-shiyuan-bigCR" w:date="2024-07-29T21:55:39Z"/>
      <w:ins w:id="38" w:author="CMCC-shiyuan-bigCR" w:date="2024-07-29T21:55:39Z"/>
      <w:ins w:id="39" w:author="CMCC-shiyuan-bigCR" w:date="2024-07-29T21:55:39Z">
        <w:r>
          <w:rPr>
            <w:iCs/>
            <w:position w:val="-10"/>
          </w:rPr>
          <w:object>
            <v:shape id="_x0000_i1028"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41" w:author="CMCC-shiyuan-bigCR" w:date="2024-07-29T21:55:39Z"/>
      <w:del w:id="42" w:author="CMCC-shiyuan-bigCR" w:date="2024-07-29T21:55:36Z">
        <w:r>
          <w:rPr>
            <w:iCs/>
          </w:rPr>
          <w:delText>e</w:delText>
        </w:r>
      </w:del>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8.5.2.1C-1.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pPr>
        <w:rPr>
          <w:rFonts w:cs="v5.0.0"/>
        </w:rPr>
      </w:pPr>
      <w:r>
        <w:rPr>
          <w:rFonts w:cs="v5.0.0"/>
        </w:rPr>
        <w:t xml:space="preserve">Upon request the UE shall deliver configuration indexes from the </w:t>
      </w:r>
      <w:r>
        <w:t xml:space="preserve">set </w:t>
      </w:r>
      <w:r>
        <w:rPr>
          <w:iCs/>
          <w:position w:val="-10"/>
        </w:rPr>
        <w:object>
          <v:shape id="_x0000_i1029" o:spt="75" type="#_x0000_t75" style="height:21.3pt;width:14.4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0" o:spt="75" type="#_x0000_t75" style="height:21.3pt;width:14.4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6">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9</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43" w:author="CMCC-shiyuan-bigCR" w:date="2024-07-29T21:57:12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10</w:t>
      </w:r>
      <w:r>
        <w:rPr>
          <w:rFonts w:hint="eastAsia"/>
          <w:b/>
          <w:bCs/>
          <w:highlight w:val="yellow"/>
          <w:lang w:eastAsia="zh-CN"/>
        </w:rPr>
        <w:t>&gt;</w:t>
      </w:r>
    </w:p>
    <w:p>
      <w:pPr>
        <w:pStyle w:val="5"/>
      </w:pPr>
      <w:r>
        <w:rPr>
          <w:rFonts w:eastAsia="?? ??"/>
        </w:rPr>
        <w:t>8.5C.2.1</w:t>
      </w:r>
      <w:r>
        <w:rPr>
          <w:rFonts w:eastAsia="?? ??"/>
        </w:rPr>
        <w:tab/>
      </w:r>
      <w:r>
        <w:t>Introduction</w:t>
      </w:r>
    </w:p>
    <w:p>
      <w:r>
        <w:t xml:space="preserve">The requirements in this clause apply for each SSB resource in the set </w:t>
      </w:r>
      <w:ins w:id="44" w:author="CMCC-shiyuan-bigCR" w:date="2024-07-29T21:57:25Z"/>
      <w:ins w:id="45" w:author="CMCC-shiyuan-bigCR" w:date="2024-07-29T21:57:25Z"/>
      <w:ins w:id="46" w:author="CMCC-shiyuan-bigCR" w:date="2024-07-29T21:57:25Z"/>
      <w:ins w:id="47" w:author="CMCC-shiyuan-bigCR" w:date="2024-07-29T21:57:25Z">
        <w:r>
          <w:rPr>
            <w:iCs/>
            <w:position w:val="-10"/>
          </w:rPr>
          <w:object>
            <v:shape id="_x0000_i1031"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7">
              <o:LockedField>false</o:LockedField>
            </o:OLEObject>
          </w:object>
        </w:r>
      </w:ins>
      <w:ins w:id="49" w:author="CMCC-shiyuan-bigCR" w:date="2024-07-29T21:57:25Z"/>
      <w:del w:id="50" w:author="CMCC-shiyuan-bigCR" w:date="2024-07-29T21:57:20Z">
        <w:r>
          <w:rPr>
            <w:iCs/>
          </w:rPr>
          <w:delText>e</w:delText>
        </w:r>
      </w:del>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pPr>
        <w:pStyle w:val="78"/>
      </w:pPr>
      <w:r>
        <w:t>Table 8.5.2.1C-1: PDCCH transmission parameters for beam failure instance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74"/>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Same as the SCS of RMSI CORESET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76"/>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75"/>
            </w:pPr>
            <w:r>
              <w:t>Distributed</w:t>
            </w:r>
          </w:p>
        </w:tc>
      </w:tr>
    </w:tbl>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10</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11</w:t>
      </w:r>
      <w:r>
        <w:rPr>
          <w:rFonts w:hint="eastAsia"/>
          <w:b/>
          <w:bCs/>
          <w:highlight w:val="yellow"/>
          <w:lang w:eastAsia="zh-CN"/>
        </w:rPr>
        <w:t>&gt;</w:t>
      </w:r>
    </w:p>
    <w:p>
      <w:pPr>
        <w:pStyle w:val="5"/>
      </w:pPr>
      <w:r>
        <w:rPr>
          <w:rFonts w:eastAsia="?? ??"/>
        </w:rPr>
        <w:t>8.5C.5.2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rPr>
        <w:drawing>
          <wp:inline distT="0" distB="0" distL="0" distR="0">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1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w:t>
      </w:r>
      <w:del w:id="51" w:author="CMCC-shiyuan-bigCR" w:date="2024-07-31T22:49:54Z">
        <w:r>
          <w:rPr/>
          <w:delText xml:space="preserve"> </w:delText>
        </w:r>
      </w:del>
      <w:r>
        <w:t>2.</w:t>
      </w:r>
      <w:ins w:id="52" w:author="CMCC-shiyuan-bigCR" w:date="2024-07-31T22:49:55Z">
        <w:r>
          <w:rPr>
            <w:rFonts w:hint="eastAsia"/>
            <w:lang w:val="en-US" w:eastAsia="zh-CN"/>
          </w:rPr>
          <w:t>19</w:t>
        </w:r>
      </w:ins>
      <w:del w:id="53" w:author="CMCC-shiyuan-bigCR" w:date="2024-07-31T22:49:55Z">
        <w:r>
          <w:rPr/>
          <w:delText>x</w:delText>
        </w:r>
      </w:del>
      <w:r>
        <w:t>.</w:t>
      </w:r>
      <w:ins w:id="54" w:author="CMCC-shiyuan-bigCR" w:date="2024-07-31T22:49:57Z">
        <w:r>
          <w:rPr>
            <w:rFonts w:hint="eastAsia"/>
            <w:lang w:val="en-US" w:eastAsia="zh-CN"/>
          </w:rPr>
          <w:t>1</w:t>
        </w:r>
      </w:ins>
      <w:del w:id="55" w:author="CMCC-shiyuan-bigCR" w:date="2024-07-31T22:49:56Z">
        <w:r>
          <w:rPr/>
          <w:delText>y</w:delText>
        </w:r>
      </w:del>
      <w:r>
        <w:t xml:space="preserve"> for a corresponding band</w:t>
      </w:r>
      <w:r>
        <w:rPr>
          <w:rFonts w:eastAsia="?? ??"/>
        </w:rPr>
        <w:t>.</w:t>
      </w:r>
    </w:p>
    <w:p>
      <w:pPr>
        <w:jc w:val="left"/>
        <w:rPr>
          <w:b/>
          <w:bCs/>
          <w:highlight w:val="yellow"/>
          <w:lang w:eastAsia="zh-CN"/>
        </w:rPr>
      </w:pPr>
      <w:r>
        <w:rPr>
          <w:rFonts w:hint="eastAsia"/>
          <w:b/>
          <w:bCs/>
          <w:highlight w:val="yellow"/>
          <w:lang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11</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12</w:t>
      </w:r>
      <w:r>
        <w:rPr>
          <w:rFonts w:hint="eastAsia"/>
          <w:b/>
          <w:bCs/>
          <w:highlight w:val="yellow"/>
          <w:lang w:eastAsia="zh-CN"/>
        </w:rPr>
        <w:t>&gt;</w:t>
      </w:r>
    </w:p>
    <w:p>
      <w:pPr>
        <w:pStyle w:val="5"/>
      </w:pPr>
      <w:r>
        <w:rPr>
          <w:rFonts w:eastAsia="?? ??"/>
        </w:rPr>
        <w:t>8.5C.6.2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rPr>
        <w:drawing>
          <wp:inline distT="0" distB="0" distL="0" distR="0">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1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del w:id="56" w:author="CMCC-shiyuan-bigCR" w:date="2024-07-31T22:52:25Z">
        <w:r>
          <w:rPr/>
          <w:delText xml:space="preserve"> </w:delText>
        </w:r>
      </w:del>
      <w:ins w:id="57" w:author="CMCC-shiyuan-bigCR" w:date="2024-07-31T22:52:26Z">
        <w:r>
          <w:rPr>
            <w:rFonts w:hint="eastAsia"/>
            <w:lang w:val="en-US" w:eastAsia="zh-CN"/>
          </w:rPr>
          <w:t>19</w:t>
        </w:r>
      </w:ins>
      <w:del w:id="58" w:author="CMCC-shiyuan-bigCR" w:date="2024-07-31T22:52:26Z">
        <w:r>
          <w:rPr/>
          <w:delText>x</w:delText>
        </w:r>
      </w:del>
      <w:r>
        <w:t>.</w:t>
      </w:r>
      <w:ins w:id="59" w:author="CMCC-shiyuan-bigCR" w:date="2024-07-31T22:52:27Z">
        <w:r>
          <w:rPr>
            <w:rFonts w:hint="eastAsia"/>
            <w:lang w:val="en-US" w:eastAsia="zh-CN"/>
          </w:rPr>
          <w:t>2</w:t>
        </w:r>
      </w:ins>
      <w:del w:id="60" w:author="CMCC-shiyuan-bigCR" w:date="2024-07-31T22:52:27Z">
        <w:r>
          <w:rPr/>
          <w:delText>y</w:delText>
        </w:r>
      </w:del>
      <w:r>
        <w:t xml:space="preserve"> for a corresponding band</w:t>
      </w:r>
      <w:r>
        <w:rPr>
          <w:rFonts w:eastAsia="?? ??"/>
        </w:rPr>
        <w:t>.</w:t>
      </w:r>
    </w:p>
    <w:p>
      <w:pPr>
        <w:jc w:val="left"/>
        <w:rPr>
          <w:b/>
          <w:bCs/>
          <w:highlight w:val="yellow"/>
          <w:lang w:eastAsia="zh-CN"/>
        </w:rPr>
      </w:pPr>
      <w:r>
        <w:rPr>
          <w:rFonts w:hint="eastAsia"/>
          <w:b/>
          <w:bCs/>
          <w:highlight w:val="yellow"/>
          <w:lang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12</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61" w:author="CMCC-shiyuan-bigCR" w:date="2024-07-31T22:53:55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13</w:t>
      </w:r>
      <w:r>
        <w:rPr>
          <w:rFonts w:hint="eastAsia"/>
          <w:b/>
          <w:bCs/>
          <w:highlight w:val="yellow"/>
          <w:lang w:eastAsia="zh-CN"/>
        </w:rPr>
        <w:t>&gt;</w:t>
      </w:r>
    </w:p>
    <w:p>
      <w:pPr>
        <w:pStyle w:val="5"/>
      </w:pPr>
      <w:r>
        <w:t>8.5C.6.3</w:t>
      </w:r>
      <w:r>
        <w:tab/>
      </w:r>
      <w:r>
        <w:t>Measurement restriction for CSI-RS based candidate beam detection</w:t>
      </w:r>
    </w:p>
    <w:p>
      <w:r>
        <w:t xml:space="preserve">For </w:t>
      </w:r>
      <w:del w:id="62" w:author="CMCC-shiyuan-bigCR" w:date="2024-07-31T22:54:09Z">
        <w:r>
          <w:rPr/>
          <w:delText>both</w:delText>
        </w:r>
      </w:del>
      <w:del w:id="63" w:author="CMCC-shiyuan-bigCR" w:date="2024-07-31T22:54:08Z">
        <w:r>
          <w:rPr/>
          <w:delText xml:space="preserve"> </w:delText>
        </w:r>
      </w:del>
      <w:r>
        <w:t>FR1, when the CSI-RS for CBD measurement is in the same OFDM symbol as SSB for RLM, BFD, CBD or L1-RSRP measurement, UE is not required to receive CSI-RS for CBD measurement in the PRBs that overlap with an SSB.</w:t>
      </w:r>
    </w:p>
    <w:p>
      <w:pPr>
        <w:jc w:val="left"/>
        <w:rPr>
          <w:b/>
          <w:bCs/>
          <w:highlight w:val="yellow"/>
          <w:lang w:eastAsia="zh-CN"/>
        </w:rPr>
      </w:pPr>
      <w:r>
        <w:rPr>
          <w:rFonts w:hint="eastAsia"/>
          <w:b/>
          <w:bCs/>
          <w:highlight w:val="yellow"/>
          <w:lang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13</w:t>
      </w:r>
      <w:r>
        <w:rPr>
          <w:rFonts w:hint="eastAsia"/>
          <w:b/>
          <w:bCs/>
          <w:highlight w:val="yellow"/>
          <w:lang w:eastAsia="zh-CN"/>
        </w:rPr>
        <w:t>&gt;</w:t>
      </w:r>
    </w:p>
    <w:p>
      <w:pPr>
        <w:jc w:val="center"/>
        <w:outlineLvl w:val="9"/>
        <w:rPr>
          <w:rFonts w:hint="default"/>
          <w:b/>
          <w:bCs/>
          <w:highlight w:val="yellow"/>
          <w:lang w:val="en-US" w:eastAsia="zh-CN"/>
        </w:rPr>
      </w:pPr>
    </w:p>
    <w:p>
      <w:pPr>
        <w:jc w:val="center"/>
        <w:outlineLvl w:val="0"/>
        <w:rPr>
          <w:ins w:id="64" w:author="CMCC-shiyuan-bigCR" w:date="2024-07-31T22:56:40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14</w:t>
      </w:r>
      <w:r>
        <w:rPr>
          <w:rFonts w:hint="eastAsia"/>
          <w:b/>
          <w:bCs/>
          <w:highlight w:val="yellow"/>
          <w:lang w:eastAsia="zh-CN"/>
        </w:rPr>
        <w:t>&gt;</w:t>
      </w:r>
    </w:p>
    <w:p>
      <w:pPr>
        <w:pStyle w:val="4"/>
        <w:rPr>
          <w:lang w:val="en-US"/>
        </w:rPr>
      </w:pPr>
      <w:r>
        <w:rPr>
          <w:lang w:val="en-US"/>
        </w:rPr>
        <w:t>8.6C.2</w:t>
      </w:r>
      <w:r>
        <w:rPr>
          <w:lang w:val="en-US"/>
        </w:rPr>
        <w:tab/>
      </w:r>
      <w:r>
        <w:rPr>
          <w:lang w:val="en-US"/>
        </w:rPr>
        <w:t>DCI and timer based BWP switch delay on a single CC</w:t>
      </w:r>
    </w:p>
    <w:p>
      <w:pPr>
        <w:rPr>
          <w:lang w:val="en-US"/>
        </w:rPr>
      </w:pPr>
      <w:r>
        <w:t>The requirements in this clause only apply to the case that the BWP switch is performed on a single CC with more than one BWP configurations configured.</w:t>
      </w:r>
    </w:p>
    <w:p>
      <w:r>
        <w:rPr>
          <w:lang w:val="en-US"/>
        </w:rPr>
        <w:t xml:space="preserve">For DCI-based BWP switch, </w:t>
      </w:r>
      <w:r>
        <w:t xml:space="preserve">after the UE receives BWP switching request at DL slot n </w:t>
      </w:r>
      <w:r>
        <w:rPr>
          <w:lang w:val="en-US"/>
        </w:rPr>
        <w:t>on a serving cell</w:t>
      </w:r>
      <w:r>
        <w:t xml:space="preserve">, UE shall be </w:t>
      </w:r>
      <w:r>
        <w:rPr>
          <w:lang w:val="en-US"/>
        </w:rPr>
        <w:t>able to receive PDSCH (for DL active BWP switch) or transmit PUSCH (for UL active BWP switch) on the new BWP on the serving cell</w:t>
      </w:r>
      <w:r>
        <w:t xml:space="preserve"> </w:t>
      </w:r>
      <w:r>
        <w:rPr>
          <w:lang w:val="en-US"/>
        </w:rPr>
        <w:t xml:space="preserve">on which BWP switch </w:t>
      </w:r>
      <w:r>
        <w:t xml:space="preserve">on the first DL or UL slot </w:t>
      </w:r>
      <w:r>
        <w:rPr>
          <w:lang w:val="en-US"/>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pStyle w:val="98"/>
        <w:rPr>
          <w:lang w:val="en-US"/>
        </w:rPr>
      </w:pPr>
      <w:r>
        <w:t>-</w:t>
      </w:r>
      <w:r>
        <w:tab/>
      </w:r>
      <w:r>
        <w:t>Y</w:t>
      </w:r>
      <w:r>
        <w:rPr>
          <w:lang w:val="en-US"/>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pPr>
        <w:rPr>
          <w:lang w:val="en-US"/>
        </w:rPr>
      </w:pPr>
      <w:r>
        <w:rPr>
          <w:lang w:val="en-US"/>
        </w:rPr>
        <w:t>The UE is not required to transmit UL signals or receive DL signals until the first DL or UL slot occurs right after a time duration of T</w:t>
      </w:r>
      <w:r>
        <w:rPr>
          <w:vertAlign w:val="subscript"/>
          <w:lang w:val="en-US"/>
        </w:rPr>
        <w:t>BWPswitchDelay</w:t>
      </w:r>
      <w:r>
        <w:rPr>
          <w:lang w:val="en-US"/>
        </w:rPr>
        <w:t xml:space="preserve"> which starts from the beginning of DL slot n except DCI triggering BWP switch on the cell where DCI-based BWP switch occurs. </w:t>
      </w:r>
      <w:r>
        <w:t xml:space="preserve">The UE is not required to follow the requirements defined in this clause when performing a DCI-based BWP switch between the BWPs in disjoint channel bandwidths or in partially overlapping channel bandwidths. </w:t>
      </w:r>
    </w:p>
    <w:p>
      <w:pPr>
        <w:rPr>
          <w:lang w:val="en-US"/>
        </w:rPr>
      </w:pPr>
      <w:r>
        <w:rPr>
          <w:lang w:val="en-US"/>
        </w:rPr>
        <w:t xml:space="preserve">For timer-based BWP switch, the UE shall start BWP switch at DL slot n, where </w:t>
      </w:r>
      <w:r>
        <w:rPr>
          <w:rFonts w:hint="eastAsia"/>
          <w:lang w:val="en-US"/>
        </w:rPr>
        <w:t xml:space="preserve">slot </w:t>
      </w:r>
      <w:r>
        <w:rPr>
          <w:lang w:val="en-US"/>
        </w:rPr>
        <w:t xml:space="preserve">n is the </w:t>
      </w:r>
      <w:r>
        <w:rPr>
          <w:rFonts w:hint="eastAsia"/>
          <w:lang w:val="en-US"/>
        </w:rPr>
        <w:t>first slot</w:t>
      </w:r>
      <w:r>
        <w:rPr>
          <w:lang w:val="en-US"/>
        </w:rPr>
        <w:t xml:space="preserve"> of a DL subframe (FR1) immediately after a BWP-inactivity timer </w:t>
      </w:r>
      <w:r>
        <w:rPr>
          <w:i/>
        </w:rPr>
        <w:t>bwp-InactivityTimer</w:t>
      </w:r>
      <w:r>
        <w:rPr>
          <w:lang w:val="en-US"/>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rPr>
        <w:t xml:space="preserve">occurs </w:t>
      </w:r>
      <w:r>
        <w:t>right after a time duration of T</w:t>
      </w:r>
      <w:r>
        <w:rPr>
          <w:vertAlign w:val="subscript"/>
        </w:rPr>
        <w:t>BWPswitchDelay</w:t>
      </w:r>
      <w:r>
        <w:t xml:space="preserve"> which starts from the beginning of DL </w:t>
      </w:r>
      <w:r>
        <w:rPr>
          <w:lang w:val="en-US"/>
        </w:rPr>
        <w:t>slot n.</w:t>
      </w:r>
    </w:p>
    <w:p>
      <w:pPr>
        <w:rPr>
          <w:lang w:val="en-US"/>
        </w:rPr>
      </w:pPr>
      <w:r>
        <w:rPr>
          <w:lang w:val="en-US"/>
        </w:rPr>
        <w:t xml:space="preserve">The UE is not required to transmit UL signals or receive DL signals during time duration </w:t>
      </w:r>
      <w:r>
        <w:t>T</w:t>
      </w:r>
      <w:r>
        <w:rPr>
          <w:vertAlign w:val="subscript"/>
        </w:rPr>
        <w:t>BWPswitchDelay</w:t>
      </w:r>
      <w:r>
        <w:rPr>
          <w:lang w:val="en-US"/>
        </w:rPr>
        <w:t xml:space="preserve"> after </w:t>
      </w:r>
      <w:r>
        <w:rPr>
          <w:i/>
        </w:rPr>
        <w:t>bwp-InactivityTimer</w:t>
      </w:r>
      <w:r>
        <w:rPr>
          <w:lang w:val="en-US"/>
        </w:rPr>
        <w:t xml:space="preserve"> [2] expires on the cell where timer-based BWP switch occurs.</w:t>
      </w:r>
    </w:p>
    <w:p>
      <w:pPr>
        <w:rPr>
          <w:lang w:val="en-US"/>
        </w:rPr>
      </w:pPr>
      <w:r>
        <w:rPr>
          <w:lang w:val="en-US"/>
        </w:rPr>
        <w:t>Depending on UE capability</w:t>
      </w:r>
      <w:r>
        <w:t xml:space="preserve"> </w:t>
      </w:r>
      <w:r>
        <w:rPr>
          <w:i/>
        </w:rPr>
        <w:t>bwp-SwitchingDelay</w:t>
      </w:r>
      <w:r>
        <w:rPr>
          <w:lang w:val="en-US"/>
        </w:rPr>
        <w:t xml:space="preserve"> [2], UE shall finish BWP switch within the time duration </w:t>
      </w:r>
      <w:r>
        <w:t>T</w:t>
      </w:r>
      <w:r>
        <w:rPr>
          <w:vertAlign w:val="subscript"/>
        </w:rPr>
        <w:t>BWPswitchDelay</w:t>
      </w:r>
      <w:r>
        <w:rPr>
          <w:lang w:val="en-US"/>
        </w:rPr>
        <w:t xml:space="preserve"> defined in Table 8.6C.2-1.</w:t>
      </w:r>
    </w:p>
    <w:p>
      <w:pPr>
        <w:pStyle w:val="78"/>
      </w:pPr>
      <w:r>
        <w:t>Table 8.6C.2-1: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pStyle w:val="74"/>
            </w:pPr>
            <w:r>
              <w:rPr>
                <w:lang w:val="en-US"/>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pStyle w:val="74"/>
            </w:pPr>
            <w:r>
              <w:t xml:space="preserve">NR Slot length </w:t>
            </w:r>
          </w:p>
        </w:tc>
        <w:tc>
          <w:tcPr>
            <w:tcW w:w="3938" w:type="dxa"/>
            <w:gridSpan w:val="2"/>
          </w:tcPr>
          <w:p>
            <w:pPr>
              <w:pStyle w:val="74"/>
            </w:pPr>
            <w:r>
              <w:t>BWP switch delay T</w:t>
            </w:r>
            <w:r>
              <w:rPr>
                <w:vertAlign w:val="subscript"/>
              </w:rPr>
              <w:t>BWPswitchDelay</w:t>
            </w:r>
            <w: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pStyle w:val="74"/>
            </w:pPr>
          </w:p>
        </w:tc>
        <w:tc>
          <w:tcPr>
            <w:tcW w:w="992" w:type="dxa"/>
            <w:tcBorders>
              <w:top w:val="nil"/>
            </w:tcBorders>
          </w:tcPr>
          <w:p>
            <w:pPr>
              <w:pStyle w:val="74"/>
            </w:pPr>
            <w:r>
              <w:t>(ms)</w:t>
            </w:r>
          </w:p>
        </w:tc>
        <w:tc>
          <w:tcPr>
            <w:tcW w:w="1969" w:type="dxa"/>
          </w:tcPr>
          <w:p>
            <w:pPr>
              <w:pStyle w:val="74"/>
              <w:rPr>
                <w:vertAlign w:val="superscript"/>
              </w:rPr>
            </w:pPr>
            <w:r>
              <w:t>Type 1</w:t>
            </w:r>
            <w:r>
              <w:rPr>
                <w:vertAlign w:val="superscript"/>
              </w:rPr>
              <w:t>Note 1</w:t>
            </w:r>
          </w:p>
        </w:tc>
        <w:tc>
          <w:tcPr>
            <w:tcW w:w="1969" w:type="dxa"/>
          </w:tcPr>
          <w:p>
            <w:pPr>
              <w:pStyle w:val="74"/>
              <w:rPr>
                <w:vertAlign w:val="superscript"/>
              </w:rPr>
            </w:pPr>
            <w:r>
              <w:t>Type 2</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t>-</w:t>
      </w:r>
      <w:r>
        <w:tab/>
      </w:r>
      <w:r>
        <w:t>UE shall be able to receive PDCCH and PDSCH with old TCI-states before the delay as specified in Clause 8.10</w:t>
      </w:r>
      <w:ins w:id="65" w:author="CMCC-shiyuan-bigCR" w:date="2024-07-31T22:57:03Z">
        <w:r>
          <w:rPr>
            <w:rFonts w:hint="eastAsia"/>
            <w:lang w:val="en-US" w:eastAsia="zh-CN"/>
          </w:rPr>
          <w:t>C</w:t>
        </w:r>
      </w:ins>
      <w:r>
        <w:t xml:space="preserve"> in the new BWP.</w:t>
      </w:r>
    </w:p>
    <w:p>
      <w:pPr>
        <w:pStyle w:val="98"/>
      </w:pPr>
      <w:r>
        <w:t>-</w:t>
      </w:r>
      <w:r>
        <w:tab/>
      </w:r>
      <w:r>
        <w:t>UE shall be able to receive PDCCH and PDSCH with new TCI-states after the delay as specified in Clause 8.10</w:t>
      </w:r>
      <w:ins w:id="66" w:author="CMCC-shiyuan-bigCR" w:date="2024-07-31T22:57:07Z">
        <w:r>
          <w:rPr>
            <w:rFonts w:hint="eastAsia"/>
            <w:lang w:val="en-US" w:eastAsia="zh-CN"/>
          </w:rPr>
          <w:t>C</w:t>
        </w:r>
      </w:ins>
      <w:r>
        <w:t xml:space="preserve"> in the new BWP.</w:t>
      </w:r>
    </w:p>
    <w:p>
      <w:pPr>
        <w:jc w:val="left"/>
        <w:rPr>
          <w:b/>
          <w:bCs/>
          <w:highlight w:val="yellow"/>
          <w:lang w:eastAsia="zh-CN"/>
        </w:rPr>
      </w:pPr>
      <w:r>
        <w:rPr>
          <w:rFonts w:hint="eastAsia"/>
          <w:b/>
          <w:bCs/>
          <w:highlight w:val="yellow"/>
          <w:lang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14</w:t>
      </w:r>
      <w:r>
        <w:rPr>
          <w:rFonts w:hint="eastAsia"/>
          <w:b/>
          <w:bCs/>
          <w:highlight w:val="yellow"/>
          <w:lang w:eastAsia="zh-CN"/>
        </w:rPr>
        <w:t>&gt;</w:t>
      </w:r>
    </w:p>
    <w:p>
      <w:pPr>
        <w:jc w:val="center"/>
        <w:rPr>
          <w:b/>
          <w:bCs/>
          <w:lang w:eastAsia="zh-CN"/>
        </w:rPr>
      </w:pP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Start</w:t>
      </w:r>
      <w:r>
        <w:rPr>
          <w:rFonts w:hint="eastAsia"/>
          <w:b/>
          <w:bCs/>
          <w:highlight w:val="yellow"/>
          <w:lang w:eastAsia="zh-CN"/>
        </w:rPr>
        <w:t xml:space="preserve"> of change#</w:t>
      </w:r>
      <w:r>
        <w:rPr>
          <w:rFonts w:hint="eastAsia"/>
          <w:b/>
          <w:bCs/>
          <w:highlight w:val="yellow"/>
          <w:lang w:val="en-US" w:eastAsia="zh-CN"/>
        </w:rPr>
        <w:t>15</w:t>
      </w:r>
      <w:r>
        <w:rPr>
          <w:rFonts w:hint="eastAsia"/>
          <w:b/>
          <w:bCs/>
          <w:highlight w:val="yellow"/>
          <w:lang w:eastAsia="zh-CN"/>
        </w:rPr>
        <w:t>&gt;</w:t>
      </w:r>
    </w:p>
    <w:p>
      <w:pPr>
        <w:pStyle w:val="2"/>
      </w:pPr>
      <w:bookmarkStart w:id="2" w:name="_Toc5952513"/>
      <w:r>
        <w:t>2</w:t>
      </w:r>
      <w:r>
        <w:tab/>
      </w:r>
      <w:r>
        <w:t>References</w:t>
      </w:r>
      <w:bookmarkEnd w:id="2"/>
    </w:p>
    <w:p>
      <w:pPr>
        <w:rPr>
          <w:rFonts w:cs="v4.2.0"/>
        </w:rPr>
      </w:pPr>
      <w:r>
        <w:rPr>
          <w:rFonts w:cs="v4.2.0"/>
        </w:rPr>
        <w:t>The following documents contain provisions which, through reference in this text, constitute provisions of the present document.</w:t>
      </w:r>
    </w:p>
    <w:p>
      <w:pPr>
        <w:pStyle w:val="98"/>
      </w:pPr>
      <w:r>
        <w:t>-</w:t>
      </w:r>
      <w:r>
        <w:tab/>
      </w:r>
      <w:r>
        <w:t>References are either specific (identified by date of publication, edition number, version number, etc.) or non</w:t>
      </w:r>
      <w:r>
        <w:noBreakHyphen/>
      </w:r>
      <w:r>
        <w:t>specific.</w:t>
      </w:r>
    </w:p>
    <w:p>
      <w:pPr>
        <w:pStyle w:val="98"/>
      </w:pPr>
      <w:r>
        <w:t>-</w:t>
      </w:r>
      <w:r>
        <w:tab/>
      </w:r>
      <w:r>
        <w:t>For a specific reference, subsequent revisions do not apply.</w:t>
      </w:r>
    </w:p>
    <w:p>
      <w:pPr>
        <w:pStyle w:val="98"/>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80"/>
      </w:pPr>
      <w:r>
        <w:t>[1]</w:t>
      </w:r>
      <w:r>
        <w:tab/>
      </w:r>
      <w:r>
        <w:t>3GPP TS 38.304: "NR; User Equipment (UE) procedures in idle mode".</w:t>
      </w:r>
    </w:p>
    <w:p>
      <w:pPr>
        <w:pStyle w:val="80"/>
      </w:pPr>
      <w:r>
        <w:t>[2]</w:t>
      </w:r>
      <w:r>
        <w:tab/>
      </w:r>
      <w:r>
        <w:t>3GPP TS 38.331: "NR; Radio Resource Control (RRC); Protocol specification".</w:t>
      </w:r>
    </w:p>
    <w:p>
      <w:pPr>
        <w:pStyle w:val="80"/>
      </w:pPr>
      <w:r>
        <w:t>[3]</w:t>
      </w:r>
      <w:r>
        <w:tab/>
      </w:r>
      <w:r>
        <w:t>3GPP TS 38.213: "NR; Physical layer procedures for control".</w:t>
      </w:r>
    </w:p>
    <w:p>
      <w:pPr>
        <w:pStyle w:val="80"/>
      </w:pPr>
      <w:r>
        <w:t>[4]</w:t>
      </w:r>
      <w:r>
        <w:tab/>
      </w:r>
      <w:r>
        <w:t>3GPP TS 38.215: "NR; Physical layer measurements".</w:t>
      </w:r>
    </w:p>
    <w:p>
      <w:pPr>
        <w:pStyle w:val="80"/>
      </w:pPr>
      <w:r>
        <w:t>[5]</w:t>
      </w:r>
      <w:r>
        <w:tab/>
      </w:r>
      <w:r>
        <w:t>3GPP TS 38.533: "NR; User Equipment (UE) conformance specification; Radio Resource Management (RRM)".</w:t>
      </w:r>
    </w:p>
    <w:p>
      <w:pPr>
        <w:pStyle w:val="80"/>
      </w:pPr>
      <w:r>
        <w:t>[6]</w:t>
      </w:r>
      <w:r>
        <w:tab/>
      </w:r>
      <w:r>
        <w:t xml:space="preserve">3GPP TS 38.211: </w:t>
      </w:r>
      <w:bookmarkStart w:id="3" w:name="OLE_LINK44"/>
      <w:bookmarkStart w:id="4" w:name="OLE_LINK45"/>
      <w:r>
        <w:t>"</w:t>
      </w:r>
      <w:bookmarkEnd w:id="3"/>
      <w:bookmarkEnd w:id="4"/>
      <w:r>
        <w:t>NR; Physical channels and modulation”.</w:t>
      </w:r>
    </w:p>
    <w:p>
      <w:pPr>
        <w:pStyle w:val="80"/>
      </w:pPr>
      <w:r>
        <w:t>[7]</w:t>
      </w:r>
      <w:r>
        <w:tab/>
      </w:r>
      <w:r>
        <w:t>3GPP TS 38.321: "NR; Medium Access Control (MAC) protocol specification".</w:t>
      </w:r>
    </w:p>
    <w:p>
      <w:pPr>
        <w:pStyle w:val="80"/>
      </w:pPr>
      <w:r>
        <w:t>[8]</w:t>
      </w:r>
      <w:r>
        <w:tab/>
      </w:r>
      <w:r>
        <w:t>3GPP TS 38.212 "NR; Multiplexing and channel coding".</w:t>
      </w:r>
    </w:p>
    <w:p>
      <w:pPr>
        <w:pStyle w:val="80"/>
      </w:pPr>
      <w:r>
        <w:t>[9]</w:t>
      </w:r>
      <w:r>
        <w:tab/>
      </w:r>
      <w:r>
        <w:t>3GPP TS 38.202: "NR; Physical layer services provided by the physical layer".</w:t>
      </w:r>
    </w:p>
    <w:p>
      <w:pPr>
        <w:pStyle w:val="80"/>
      </w:pPr>
      <w:r>
        <w:t>[10]</w:t>
      </w:r>
      <w:r>
        <w:tab/>
      </w:r>
      <w:r>
        <w:t>3GPP TS 38.300: "NR; Overall description; Stage-2".</w:t>
      </w:r>
    </w:p>
    <w:p>
      <w:pPr>
        <w:pStyle w:val="80"/>
      </w:pPr>
      <w:r>
        <w:t>[11]</w:t>
      </w:r>
      <w:r>
        <w:tab/>
      </w:r>
      <w:r>
        <w:t>3GPP TR 21.905: "Vocabulary for 3GPP Specifications".</w:t>
      </w:r>
    </w:p>
    <w:p>
      <w:pPr>
        <w:pStyle w:val="80"/>
      </w:pPr>
      <w:r>
        <w:t>[12]</w:t>
      </w:r>
      <w:r>
        <w:tab/>
      </w:r>
      <w:r>
        <w:t>3GPP TS 38.423: "</w:t>
      </w:r>
      <w:r>
        <w:rPr>
          <w:bCs/>
          <w:lang w:val="en-US"/>
        </w:rPr>
        <w:t>NG-RAN; Xn Application Protocol (XnAP)</w:t>
      </w:r>
      <w:r>
        <w:t>".</w:t>
      </w:r>
    </w:p>
    <w:p>
      <w:pPr>
        <w:pStyle w:val="80"/>
      </w:pPr>
      <w:r>
        <w:t>[13]</w:t>
      </w:r>
      <w:r>
        <w:tab/>
      </w:r>
      <w:r>
        <w:t>3GPP TS 38.104: "NR; Base Station (BS) radio transmission and reception".</w:t>
      </w:r>
    </w:p>
    <w:p>
      <w:pPr>
        <w:pStyle w:val="80"/>
      </w:pPr>
      <w:r>
        <w:t>[14]</w:t>
      </w:r>
      <w:r>
        <w:tab/>
      </w:r>
      <w:r>
        <w:t>3GPP TS 38.306: "NR; User Equipment (UE) radio access capabilities".</w:t>
      </w:r>
    </w:p>
    <w:p>
      <w:pPr>
        <w:pStyle w:val="80"/>
      </w:pPr>
      <w:r>
        <w:t>[15]</w:t>
      </w:r>
      <w:r>
        <w:tab/>
      </w:r>
      <w:r>
        <w:t>3GPP TS 36.133: "Evolved Universal Terrestrial Radio Access (E-UTRA); Requirements for support of radio resource management".</w:t>
      </w:r>
    </w:p>
    <w:p>
      <w:pPr>
        <w:pStyle w:val="80"/>
      </w:pPr>
      <w:r>
        <w:t>[16]</w:t>
      </w:r>
      <w:r>
        <w:tab/>
      </w:r>
      <w:r>
        <w:t>3GPP TS 36.331: "Evolved Universal Terrestrial Radio Access (E-UTRA); Radio Resource Control (RRC) protocol specification".</w:t>
      </w:r>
    </w:p>
    <w:p>
      <w:pPr>
        <w:pStyle w:val="80"/>
      </w:pPr>
      <w:r>
        <w:t>[17]</w:t>
      </w:r>
      <w:r>
        <w:tab/>
      </w:r>
      <w:r>
        <w:t>3GPP TS 37.340: "Evolved Universal Terrestrial Radio Access (E-UTRA) and NR; Multi-connectivity", Stage 2.</w:t>
      </w:r>
    </w:p>
    <w:p>
      <w:pPr>
        <w:pStyle w:val="80"/>
      </w:pPr>
      <w:r>
        <w:t>[18]</w:t>
      </w:r>
      <w:r>
        <w:tab/>
      </w:r>
      <w:r>
        <w:t>3GPP TS 38.101-1: "NR; User Equipment (UE) radio transmission and reception; Part 1: Range 1 Standalone".</w:t>
      </w:r>
    </w:p>
    <w:p>
      <w:pPr>
        <w:pStyle w:val="80"/>
      </w:pPr>
      <w:r>
        <w:t>[19]</w:t>
      </w:r>
      <w:r>
        <w:tab/>
      </w:r>
      <w:r>
        <w:t>3GPP TS 38.101-2: "NR; User Equipment (UE) radio transmission and reception; Part 2: Range 2 Standalone".</w:t>
      </w:r>
    </w:p>
    <w:p>
      <w:pPr>
        <w:pStyle w:val="80"/>
      </w:pPr>
      <w:r>
        <w:t>[20]</w:t>
      </w:r>
      <w:r>
        <w:tab/>
      </w:r>
      <w:r>
        <w:t>3GPP TS 38.101-3: "NR; User Equipment (UE) radio transmission and reception; Part 3: Range 1 and Range 2 Interworking operation with other radios".</w:t>
      </w:r>
    </w:p>
    <w:p>
      <w:pPr>
        <w:pStyle w:val="80"/>
      </w:pPr>
      <w:r>
        <w:t>[21]</w:t>
      </w:r>
      <w:r>
        <w:tab/>
      </w:r>
      <w:r>
        <w:t>3GPP TS 38.101-4: "NR; User Equipment (UE) radio transmission and reception; Part 4: Performance requirements".</w:t>
      </w:r>
    </w:p>
    <w:p>
      <w:pPr>
        <w:pStyle w:val="80"/>
      </w:pPr>
      <w:r>
        <w:t>[22]</w:t>
      </w:r>
      <w:r>
        <w:tab/>
      </w:r>
      <w:r>
        <w:t>3GPP TS 38.305: "NG Radio Access Network (NG-RAN); Stage 2 functional specification of User Equipment (UE) positioning in NG-RAN".</w:t>
      </w:r>
    </w:p>
    <w:p>
      <w:pPr>
        <w:pStyle w:val="80"/>
      </w:pPr>
      <w:r>
        <w:t>[23]</w:t>
      </w:r>
      <w:r>
        <w:tab/>
      </w:r>
      <w:r>
        <w:t>3GPP TS 36.211: "Evolved Universal Terrestrial Radio Access (E-UTRA); Physical Channels and Modulation".</w:t>
      </w:r>
    </w:p>
    <w:p>
      <w:pPr>
        <w:pStyle w:val="80"/>
      </w:pPr>
      <w:r>
        <w:t>[24]</w:t>
      </w:r>
      <w:r>
        <w:tab/>
      </w:r>
      <w:r>
        <w:t>3GPP TS 36.300: "Evolved Universal Terrestrial Radio Access (E-UTRA); Overall description".</w:t>
      </w:r>
    </w:p>
    <w:p>
      <w:pPr>
        <w:pStyle w:val="80"/>
      </w:pPr>
      <w:r>
        <w:t>[25]</w:t>
      </w:r>
      <w:r>
        <w:tab/>
      </w:r>
      <w:r>
        <w:t>3GPP TS 36.101: "Technical Specification Group Radio Access Network; Evolved Universal Terrestrial Radio Access (E-UTRA); User Equipment (UE) radio transmission and reception".</w:t>
      </w:r>
    </w:p>
    <w:p>
      <w:pPr>
        <w:pStyle w:val="80"/>
      </w:pPr>
      <w:r>
        <w:t>[26]</w:t>
      </w:r>
      <w:r>
        <w:tab/>
      </w:r>
      <w:r>
        <w:t>3GPP TS 38.214: "NR; Physical layer procedures for data".</w:t>
      </w:r>
    </w:p>
    <w:p>
      <w:pPr>
        <w:pStyle w:val="80"/>
      </w:pPr>
      <w:r>
        <w:t>[27]</w:t>
      </w:r>
      <w:r>
        <w:tab/>
      </w:r>
      <w:r>
        <w:t>3GPP TS 36.355: "Evolved Universal Terrestrial Radio Access (E-UTRA); LTE Positioning Protocol (LPP)".</w:t>
      </w:r>
    </w:p>
    <w:p>
      <w:pPr>
        <w:pStyle w:val="80"/>
      </w:pPr>
      <w:r>
        <w:t>[28]</w:t>
      </w:r>
      <w:r>
        <w:tab/>
      </w:r>
      <w:r>
        <w:t>Void.</w:t>
      </w:r>
    </w:p>
    <w:p>
      <w:pPr>
        <w:pStyle w:val="80"/>
      </w:pPr>
      <w:r>
        <w:t>[29]</w:t>
      </w:r>
      <w:r>
        <w:tab/>
      </w:r>
      <w:r>
        <w:t>3GPP TS 25.133: "Requirements for Support of Radio Resource Management (FDD)".</w:t>
      </w:r>
    </w:p>
    <w:p>
      <w:pPr>
        <w:pStyle w:val="80"/>
      </w:pPr>
      <w:r>
        <w:rPr>
          <w:rFonts w:cs="v4.2.0"/>
        </w:rPr>
        <w:t>[30]</w:t>
      </w:r>
      <w:r>
        <w:tab/>
      </w:r>
      <w:r>
        <w:t>3GPP</w:t>
      </w:r>
      <w:r>
        <w:rPr>
          <w:rFonts w:cs="v4.2.0"/>
        </w:rPr>
        <w:t xml:space="preserve"> TS 25.302</w:t>
      </w:r>
      <w:r>
        <w:t>: "Services provided by the Physical Layer".</w:t>
      </w:r>
    </w:p>
    <w:p>
      <w:pPr>
        <w:pStyle w:val="80"/>
      </w:pPr>
      <w:r>
        <w:t>[31]</w:t>
      </w:r>
      <w:r>
        <w:tab/>
      </w:r>
      <w:r>
        <w:t>3GPP TS 37.320: "Universal Terrestrial Radio Access (UTRA)</w:t>
      </w:r>
      <w:r>
        <w:rPr>
          <w:rFonts w:hint="eastAsia"/>
        </w:rPr>
        <w:t xml:space="preserve">, </w:t>
      </w:r>
      <w:r>
        <w:t>Evolved Universal Terrestrial Radio Access (E-UTRA)</w:t>
      </w:r>
      <w:r>
        <w:rPr>
          <w:rFonts w:hint="eastAsia"/>
        </w:rPr>
        <w:t xml:space="preserve"> </w:t>
      </w:r>
      <w:r>
        <w:t>and</w:t>
      </w:r>
      <w:r>
        <w:rPr>
          <w:rFonts w:hint="eastAsia"/>
        </w:rPr>
        <w:t xml:space="preserve"> </w:t>
      </w:r>
      <w:r>
        <w:t>Next Generation Radio Access; Radio measurement collection for Minimization of Drive Tests (MDT); Overall description; Stage 2".</w:t>
      </w:r>
    </w:p>
    <w:p>
      <w:pPr>
        <w:pStyle w:val="80"/>
      </w:pPr>
      <w:r>
        <w:rPr>
          <w:rFonts w:hint="eastAsia"/>
          <w:lang w:val="en-US"/>
        </w:rPr>
        <w:t>[32]</w:t>
      </w:r>
      <w:r>
        <w:rPr>
          <w:rFonts w:hint="eastAsia"/>
          <w:lang w:val="en-US"/>
        </w:rPr>
        <w:tab/>
      </w:r>
      <w:r>
        <w:t>3GPP TS 25.214: "Physical layer procedures (FDD)".</w:t>
      </w:r>
    </w:p>
    <w:p>
      <w:pPr>
        <w:pStyle w:val="80"/>
      </w:pPr>
      <w:r>
        <w:t>[33]</w:t>
      </w:r>
      <w:r>
        <w:tab/>
      </w:r>
      <w:r>
        <w:t>3GPP TS 37.213: "Physical layer procedures for shared spectrum channel access"</w:t>
      </w:r>
    </w:p>
    <w:p>
      <w:pPr>
        <w:pStyle w:val="80"/>
        <w:rPr>
          <w:lang w:val="sv-FI"/>
        </w:rPr>
      </w:pPr>
      <w:bookmarkStart w:id="5" w:name="_Hlk45613835"/>
      <w:r>
        <w:rPr>
          <w:lang w:val="sv-FI"/>
        </w:rPr>
        <w:t>[34]</w:t>
      </w:r>
      <w:r>
        <w:rPr>
          <w:lang w:val="sv-FI"/>
        </w:rPr>
        <w:tab/>
      </w:r>
      <w:r>
        <w:rPr>
          <w:lang w:val="sv-FI"/>
        </w:rPr>
        <w:t>3GPP TS 37.355: "LTE Positioning Protocol (LPP) ".</w:t>
      </w:r>
      <w:bookmarkEnd w:id="5"/>
    </w:p>
    <w:p>
      <w:pPr>
        <w:pStyle w:val="80"/>
      </w:pPr>
      <w:r>
        <w:rPr>
          <w:lang w:val="en-US"/>
        </w:rPr>
        <w:t>[35]</w:t>
      </w:r>
      <w:r>
        <w:rPr>
          <w:lang w:val="en-US"/>
        </w:rPr>
        <w:tab/>
      </w:r>
      <w:r>
        <w:rPr>
          <w:lang w:val="en-US"/>
        </w:rPr>
        <w:t>3GPP TS 38.455</w:t>
      </w:r>
      <w:r>
        <w:rPr>
          <w:lang w:val="en-US"/>
        </w:rPr>
        <w:tab/>
      </w:r>
      <w:r>
        <w:rPr>
          <w:lang w:val="en-US"/>
        </w:rPr>
        <w:t xml:space="preserve">: </w:t>
      </w:r>
      <w:r>
        <w:t>"</w:t>
      </w:r>
      <w:r>
        <w:rPr>
          <w:lang w:val="en-US"/>
        </w:rPr>
        <w:t>NG-RAN; NR Positioning Protocol A (NRPPa)</w:t>
      </w:r>
      <w:r>
        <w:t xml:space="preserve"> "</w:t>
      </w:r>
      <w:r>
        <w:rPr>
          <w:lang w:val="en-US"/>
        </w:rPr>
        <w:t>.</w:t>
      </w:r>
    </w:p>
    <w:p>
      <w:pPr>
        <w:pStyle w:val="80"/>
        <w:rPr>
          <w:lang w:val="en-US"/>
        </w:rPr>
      </w:pPr>
      <w:r>
        <w:rPr>
          <w:lang w:val="en-US"/>
        </w:rPr>
        <w:t>[36]</w:t>
      </w:r>
      <w:r>
        <w:rPr>
          <w:lang w:val="en-US"/>
        </w:rPr>
        <w:tab/>
      </w:r>
      <w:r>
        <w:rPr>
          <w:lang w:val="en-US"/>
        </w:rPr>
        <w:t>3GPP TS 37.106: “User Equipment (UE) requirements for shared spectrum channel access”.</w:t>
      </w:r>
    </w:p>
    <w:p>
      <w:pPr>
        <w:pStyle w:val="80"/>
      </w:pPr>
      <w:r>
        <w:t>[37]</w:t>
      </w:r>
      <w:r>
        <w:tab/>
      </w:r>
      <w:r>
        <w:t>3GPP TS 38.508-1: "5GS; User Equipment (UE) conformance specification; Part 1: Common test environment".</w:t>
      </w:r>
    </w:p>
    <w:p>
      <w:pPr>
        <w:pStyle w:val="80"/>
        <w:rPr>
          <w:lang w:val="en-US"/>
        </w:rPr>
      </w:pPr>
      <w:r>
        <w:rPr>
          <w:lang w:val="en-US"/>
        </w:rPr>
        <w:t>[38]</w:t>
      </w:r>
      <w:r>
        <w:rPr>
          <w:lang w:val="en-US"/>
        </w:rPr>
        <w:tab/>
      </w:r>
      <w:r>
        <w:t>3GPP TS 38.521-2: " NR; User Equipment (UE) conformance specification; Radio transmission and reception; Part 2: Range 2 Standalone".</w:t>
      </w:r>
    </w:p>
    <w:p>
      <w:pPr>
        <w:pStyle w:val="80"/>
        <w:rPr>
          <w:ins w:id="67" w:author="CMCC-shiyuan-bigCR" w:date="2024-08-05T11:33:32Z"/>
        </w:rPr>
      </w:pPr>
      <w:ins w:id="68" w:author="CMCC-shiyuan-bigCR" w:date="2024-08-05T11:33:32Z">
        <w:r>
          <w:rPr/>
          <w:t>[3</w:t>
        </w:r>
      </w:ins>
      <w:ins w:id="69" w:author="CMCC-shiyuan-bigCR" w:date="2024-08-05T16:56:51Z">
        <w:r>
          <w:rPr>
            <w:rFonts w:hint="eastAsia"/>
            <w:lang w:val="en-US" w:eastAsia="zh-CN"/>
          </w:rPr>
          <w:t>9</w:t>
        </w:r>
      </w:ins>
      <w:ins w:id="70" w:author="CMCC-shiyuan-bigCR" w:date="2024-08-05T11:33:32Z">
        <w:r>
          <w:rPr/>
          <w:t>]</w:t>
        </w:r>
      </w:ins>
      <w:ins w:id="71" w:author="CMCC-shiyuan-bigCR" w:date="2024-08-05T11:33:32Z">
        <w:r>
          <w:rPr/>
          <w:tab/>
        </w:r>
      </w:ins>
      <w:ins w:id="72" w:author="CMCC-shiyuan-bigCR" w:date="2024-08-05T11:33:32Z">
        <w:r>
          <w:rPr/>
          <w:t>3GPP TS 38.</w:t>
        </w:r>
      </w:ins>
      <w:ins w:id="73" w:author="CMCC-shiyuan-bigCR" w:date="2024-08-05T11:33:38Z">
        <w:r>
          <w:rPr>
            <w:rFonts w:hint="default"/>
            <w:lang w:val="en-US" w:eastAsia="zh-CN"/>
            <w:rPrChange w:id="74" w:author="CMCC-shiyuan-bigCR" w:date="2024-08-05T11:34:32Z">
              <w:rPr>
                <w:rFonts w:hint="eastAsia"/>
                <w:lang w:val="en-US" w:eastAsia="zh-CN"/>
              </w:rPr>
            </w:rPrChange>
          </w:rPr>
          <w:t>101</w:t>
        </w:r>
      </w:ins>
      <w:ins w:id="75" w:author="CMCC-shiyuan-bigCR" w:date="2024-08-05T11:33:32Z">
        <w:r>
          <w:rPr/>
          <w:t>-</w:t>
        </w:r>
      </w:ins>
      <w:ins w:id="76" w:author="CMCC-shiyuan-bigCR" w:date="2024-08-05T11:33:41Z">
        <w:r>
          <w:rPr>
            <w:rFonts w:hint="default"/>
            <w:lang w:val="en-US" w:eastAsia="zh-CN"/>
            <w:rPrChange w:id="77" w:author="CMCC-shiyuan-bigCR" w:date="2024-08-05T11:34:32Z">
              <w:rPr>
                <w:rFonts w:hint="eastAsia"/>
                <w:lang w:val="en-US" w:eastAsia="zh-CN"/>
              </w:rPr>
            </w:rPrChange>
          </w:rPr>
          <w:t>5</w:t>
        </w:r>
      </w:ins>
      <w:ins w:id="78" w:author="CMCC-shiyuan-bigCR" w:date="2024-08-05T11:33:32Z">
        <w:r>
          <w:rPr/>
          <w:t>: "</w:t>
        </w:r>
      </w:ins>
      <w:ins w:id="79" w:author="CMCC-shiyuan-bigCR" w:date="2024-08-05T11:34:19Z">
        <w:r>
          <w:rPr>
            <w:rFonts w:hint="eastAsia"/>
          </w:rPr>
          <w:t>User Equipment (UE) radio transmission and reception;</w:t>
        </w:r>
      </w:ins>
      <w:ins w:id="80" w:author="CMCC-shiyuan-bigCR" w:date="2024-08-05T11:34:24Z">
        <w:r>
          <w:rPr>
            <w:rFonts w:hint="default"/>
            <w:lang w:val="en-US" w:eastAsia="zh-CN"/>
            <w:rPrChange w:id="81" w:author="CMCC-shiyuan-bigCR" w:date="2024-08-05T11:34:32Z">
              <w:rPr>
                <w:rFonts w:hint="eastAsia"/>
                <w:lang w:val="en-US" w:eastAsia="zh-CN"/>
              </w:rPr>
            </w:rPrChange>
          </w:rPr>
          <w:t xml:space="preserve"> </w:t>
        </w:r>
      </w:ins>
      <w:ins w:id="82" w:author="CMCC-shiyuan-bigCR" w:date="2024-08-05T11:34:19Z">
        <w:r>
          <w:rPr>
            <w:rFonts w:hint="eastAsia"/>
          </w:rPr>
          <w:t>Part 5: Satellite access Radio Frequency (RF) and performance requirements</w:t>
        </w:r>
      </w:ins>
      <w:ins w:id="83" w:author="CMCC-shiyuan-bigCR" w:date="2024-08-05T11:33:32Z">
        <w:r>
          <w:rPr/>
          <w:t>".</w:t>
        </w:r>
      </w:ins>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15</w:t>
      </w:r>
      <w:r>
        <w:rPr>
          <w:rFonts w:hint="eastAsia"/>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2D50F19"/>
    <w:rsid w:val="03230061"/>
    <w:rsid w:val="03C05177"/>
    <w:rsid w:val="03F12CD4"/>
    <w:rsid w:val="040F33C5"/>
    <w:rsid w:val="04AB1045"/>
    <w:rsid w:val="04AB4D30"/>
    <w:rsid w:val="050B435F"/>
    <w:rsid w:val="059960BA"/>
    <w:rsid w:val="05E83B00"/>
    <w:rsid w:val="05FD09AF"/>
    <w:rsid w:val="06460A5E"/>
    <w:rsid w:val="07E16B16"/>
    <w:rsid w:val="09F63CC6"/>
    <w:rsid w:val="0A550C93"/>
    <w:rsid w:val="0A8D366C"/>
    <w:rsid w:val="0B6B7F94"/>
    <w:rsid w:val="0BD15FC4"/>
    <w:rsid w:val="0C763C13"/>
    <w:rsid w:val="0C9D4E97"/>
    <w:rsid w:val="0FCC2905"/>
    <w:rsid w:val="0FFA4B0D"/>
    <w:rsid w:val="0FFA65FD"/>
    <w:rsid w:val="12815DBC"/>
    <w:rsid w:val="12861570"/>
    <w:rsid w:val="12C87B89"/>
    <w:rsid w:val="136F50D1"/>
    <w:rsid w:val="157D1E2F"/>
    <w:rsid w:val="161E2F08"/>
    <w:rsid w:val="16D2673C"/>
    <w:rsid w:val="1A70320C"/>
    <w:rsid w:val="1A7E307F"/>
    <w:rsid w:val="1BF265A2"/>
    <w:rsid w:val="1C275729"/>
    <w:rsid w:val="1C896BF7"/>
    <w:rsid w:val="1D731937"/>
    <w:rsid w:val="1E0351F2"/>
    <w:rsid w:val="1E140EBD"/>
    <w:rsid w:val="1E632CD3"/>
    <w:rsid w:val="1F377686"/>
    <w:rsid w:val="200337DB"/>
    <w:rsid w:val="220E46F5"/>
    <w:rsid w:val="23AB192B"/>
    <w:rsid w:val="24A23343"/>
    <w:rsid w:val="25170C1C"/>
    <w:rsid w:val="264679CF"/>
    <w:rsid w:val="268760A7"/>
    <w:rsid w:val="26C048A1"/>
    <w:rsid w:val="26E00471"/>
    <w:rsid w:val="271A038F"/>
    <w:rsid w:val="27C2034A"/>
    <w:rsid w:val="29982961"/>
    <w:rsid w:val="2A174259"/>
    <w:rsid w:val="2A520D80"/>
    <w:rsid w:val="2BA60A71"/>
    <w:rsid w:val="2BFD3648"/>
    <w:rsid w:val="2C1B152B"/>
    <w:rsid w:val="2DD14990"/>
    <w:rsid w:val="2E6B78FB"/>
    <w:rsid w:val="2EDE6B53"/>
    <w:rsid w:val="2F6E1091"/>
    <w:rsid w:val="2F980C2F"/>
    <w:rsid w:val="31A35B0F"/>
    <w:rsid w:val="326D5353"/>
    <w:rsid w:val="32956289"/>
    <w:rsid w:val="32A312C7"/>
    <w:rsid w:val="32B32535"/>
    <w:rsid w:val="33322711"/>
    <w:rsid w:val="35406559"/>
    <w:rsid w:val="36557308"/>
    <w:rsid w:val="368A644D"/>
    <w:rsid w:val="36D70BC6"/>
    <w:rsid w:val="383210E8"/>
    <w:rsid w:val="386872E2"/>
    <w:rsid w:val="3AA37E95"/>
    <w:rsid w:val="3AC5501C"/>
    <w:rsid w:val="3C802506"/>
    <w:rsid w:val="3C935538"/>
    <w:rsid w:val="3CB37A5E"/>
    <w:rsid w:val="3E8B207A"/>
    <w:rsid w:val="3FF849AA"/>
    <w:rsid w:val="40616830"/>
    <w:rsid w:val="40662EEC"/>
    <w:rsid w:val="40C9355F"/>
    <w:rsid w:val="414C53A0"/>
    <w:rsid w:val="420063C1"/>
    <w:rsid w:val="438F3899"/>
    <w:rsid w:val="45AD626E"/>
    <w:rsid w:val="46A110D5"/>
    <w:rsid w:val="47950C1A"/>
    <w:rsid w:val="48F353CC"/>
    <w:rsid w:val="49705A5A"/>
    <w:rsid w:val="49DC7A4B"/>
    <w:rsid w:val="4AA40088"/>
    <w:rsid w:val="4B494317"/>
    <w:rsid w:val="4D7520F5"/>
    <w:rsid w:val="4D8D4743"/>
    <w:rsid w:val="4DA23997"/>
    <w:rsid w:val="4E0863A4"/>
    <w:rsid w:val="4E2F1DE7"/>
    <w:rsid w:val="4ED04117"/>
    <w:rsid w:val="4EED4266"/>
    <w:rsid w:val="4FDF1E5A"/>
    <w:rsid w:val="509F054F"/>
    <w:rsid w:val="51327C78"/>
    <w:rsid w:val="51336874"/>
    <w:rsid w:val="524E2F95"/>
    <w:rsid w:val="545E4EF7"/>
    <w:rsid w:val="553755C4"/>
    <w:rsid w:val="55F74FCB"/>
    <w:rsid w:val="56BB5D2B"/>
    <w:rsid w:val="574609F4"/>
    <w:rsid w:val="58192773"/>
    <w:rsid w:val="58A73E8A"/>
    <w:rsid w:val="597D7B12"/>
    <w:rsid w:val="5CFB5BDB"/>
    <w:rsid w:val="5D1D6D54"/>
    <w:rsid w:val="5D2B67E2"/>
    <w:rsid w:val="5D9401BF"/>
    <w:rsid w:val="5E282C23"/>
    <w:rsid w:val="5E3F7232"/>
    <w:rsid w:val="5F0D3D56"/>
    <w:rsid w:val="5F761FB5"/>
    <w:rsid w:val="5FD614CB"/>
    <w:rsid w:val="6040767A"/>
    <w:rsid w:val="60A25C94"/>
    <w:rsid w:val="61691FA1"/>
    <w:rsid w:val="62CB6DF3"/>
    <w:rsid w:val="63EE2AC7"/>
    <w:rsid w:val="672B53F3"/>
    <w:rsid w:val="67700556"/>
    <w:rsid w:val="68373B84"/>
    <w:rsid w:val="68A21ED5"/>
    <w:rsid w:val="694A0D42"/>
    <w:rsid w:val="6AAB7712"/>
    <w:rsid w:val="6AE92831"/>
    <w:rsid w:val="6B3052FA"/>
    <w:rsid w:val="6B4967E3"/>
    <w:rsid w:val="6BFC0521"/>
    <w:rsid w:val="6C933A77"/>
    <w:rsid w:val="6D37052B"/>
    <w:rsid w:val="6D7A1017"/>
    <w:rsid w:val="6F546DF3"/>
    <w:rsid w:val="71AF6D07"/>
    <w:rsid w:val="71EB45E8"/>
    <w:rsid w:val="72B27E9C"/>
    <w:rsid w:val="72BB19CC"/>
    <w:rsid w:val="733E3F29"/>
    <w:rsid w:val="751757D5"/>
    <w:rsid w:val="75196637"/>
    <w:rsid w:val="76BD7F9E"/>
    <w:rsid w:val="76FD5DC7"/>
    <w:rsid w:val="774E7ADD"/>
    <w:rsid w:val="781166D5"/>
    <w:rsid w:val="79204C29"/>
    <w:rsid w:val="79C52F30"/>
    <w:rsid w:val="79FC2CB0"/>
    <w:rsid w:val="7BA51C75"/>
    <w:rsid w:val="7BF03E9F"/>
    <w:rsid w:val="7C9A5C09"/>
    <w:rsid w:val="7DA57B88"/>
    <w:rsid w:val="7DB33A21"/>
    <w:rsid w:val="7DD90A26"/>
    <w:rsid w:val="7E791138"/>
    <w:rsid w:val="7EB630B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2.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CMCC-shiyuan-bigCR</cp:lastModifiedBy>
  <cp:lastPrinted>2411-12-31T08:00:00Z</cp:lastPrinted>
  <dcterms:modified xsi:type="dcterms:W3CDTF">2024-08-09T06:40:18Z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